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4D" w:rsidRPr="009E064D" w:rsidRDefault="009E064D" w:rsidP="009E064D">
      <w:pPr>
        <w:spacing w:after="0" w:line="240" w:lineRule="auto"/>
        <w:jc w:val="center"/>
        <w:rPr>
          <w:rFonts w:ascii="Arial" w:eastAsia="MS Mincho" w:hAnsi="Arial" w:cs="Arial"/>
          <w:b/>
          <w:sz w:val="20"/>
          <w:szCs w:val="20"/>
          <w:lang w:eastAsia="es-ES"/>
        </w:rPr>
      </w:pPr>
      <w:r w:rsidRPr="009E064D">
        <w:rPr>
          <w:rFonts w:ascii="Arial" w:eastAsia="MS Mincho" w:hAnsi="Arial" w:cs="Arial"/>
          <w:b/>
          <w:sz w:val="20"/>
          <w:szCs w:val="20"/>
          <w:lang w:eastAsia="es-ES"/>
        </w:rPr>
        <w:t xml:space="preserve">ANEXO No. 6 </w:t>
      </w:r>
    </w:p>
    <w:p w:rsidR="009E064D" w:rsidRPr="009E064D" w:rsidRDefault="009E064D" w:rsidP="009E064D">
      <w:pPr>
        <w:spacing w:after="0" w:line="240" w:lineRule="auto"/>
        <w:jc w:val="center"/>
        <w:rPr>
          <w:rFonts w:ascii="Arial" w:eastAsia="MS Mincho" w:hAnsi="Arial" w:cs="Arial"/>
          <w:b/>
          <w:sz w:val="20"/>
          <w:szCs w:val="20"/>
          <w:lang w:eastAsia="es-ES"/>
        </w:rPr>
      </w:pPr>
      <w:bookmarkStart w:id="0" w:name="_GoBack"/>
      <w:r w:rsidRPr="009E064D">
        <w:rPr>
          <w:rFonts w:ascii="Arial" w:eastAsia="MS Mincho" w:hAnsi="Arial" w:cs="Arial"/>
          <w:b/>
          <w:sz w:val="20"/>
          <w:szCs w:val="20"/>
          <w:lang w:eastAsia="es-ES"/>
        </w:rPr>
        <w:t>PROPUESTA ECONÓMICA</w:t>
      </w:r>
      <w:bookmarkEnd w:id="0"/>
      <w:r w:rsidRPr="009E064D">
        <w:rPr>
          <w:rFonts w:ascii="Arial" w:eastAsia="MS Mincho" w:hAnsi="Arial" w:cs="Arial"/>
          <w:b/>
          <w:sz w:val="20"/>
          <w:szCs w:val="20"/>
          <w:lang w:eastAsia="es-ES"/>
        </w:rPr>
        <w:t xml:space="preserve"> </w:t>
      </w:r>
    </w:p>
    <w:p w:rsidR="009E064D" w:rsidRPr="009E064D" w:rsidRDefault="009E064D" w:rsidP="009E064D">
      <w:pPr>
        <w:spacing w:after="0" w:line="240" w:lineRule="auto"/>
        <w:jc w:val="center"/>
        <w:rPr>
          <w:rFonts w:ascii="Arial" w:eastAsia="MS Mincho" w:hAnsi="Arial" w:cs="Arial"/>
          <w:b/>
          <w:sz w:val="20"/>
          <w:szCs w:val="20"/>
          <w:lang w:eastAsia="es-ES"/>
        </w:rPr>
      </w:pPr>
    </w:p>
    <w:p w:rsidR="009E064D" w:rsidRPr="009E064D" w:rsidRDefault="009E064D" w:rsidP="009E064D">
      <w:pPr>
        <w:pBdr>
          <w:top w:val="nil"/>
          <w:left w:val="nil"/>
          <w:bottom w:val="nil"/>
          <w:right w:val="nil"/>
          <w:between w:val="nil"/>
        </w:pBdr>
        <w:spacing w:after="0" w:line="240" w:lineRule="auto"/>
        <w:jc w:val="both"/>
        <w:rPr>
          <w:rFonts w:ascii="Arial" w:eastAsia="Arial" w:hAnsi="Arial" w:cs="Arial"/>
          <w:bCs/>
          <w:sz w:val="20"/>
          <w:szCs w:val="20"/>
          <w:lang w:val="es-ES_tradnl" w:eastAsia="es-ES"/>
        </w:rPr>
      </w:pPr>
      <w:r w:rsidRPr="009E064D">
        <w:rPr>
          <w:rFonts w:ascii="Arial" w:eastAsia="Arial" w:hAnsi="Arial" w:cs="Arial"/>
          <w:bCs/>
          <w:sz w:val="20"/>
          <w:szCs w:val="20"/>
          <w:lang w:val="es-ES_tradnl" w:eastAsia="es-ES"/>
        </w:rPr>
        <w:t>El proponente deberá diligenciar el siguiente cuadro “Propuesta económica” y entregar su oferta en medio digital con firma del representante legal (formato Word).</w:t>
      </w:r>
    </w:p>
    <w:p w:rsidR="009E064D" w:rsidRPr="009E064D" w:rsidRDefault="009E064D" w:rsidP="009E064D">
      <w:pPr>
        <w:pBdr>
          <w:top w:val="nil"/>
          <w:left w:val="nil"/>
          <w:bottom w:val="nil"/>
          <w:right w:val="nil"/>
          <w:between w:val="nil"/>
        </w:pBdr>
        <w:spacing w:after="0" w:line="240" w:lineRule="auto"/>
        <w:jc w:val="both"/>
        <w:rPr>
          <w:rFonts w:ascii="Arial" w:eastAsia="Arial" w:hAnsi="Arial" w:cs="Arial"/>
          <w:bCs/>
          <w:sz w:val="20"/>
          <w:szCs w:val="20"/>
          <w:lang w:val="es-ES_tradnl" w:eastAsia="es-ES"/>
        </w:rPr>
      </w:pPr>
    </w:p>
    <w:tbl>
      <w:tblPr>
        <w:tblW w:w="5000" w:type="pct"/>
        <w:tblCellMar>
          <w:left w:w="70" w:type="dxa"/>
          <w:right w:w="70" w:type="dxa"/>
        </w:tblCellMar>
        <w:tblLook w:val="04A0" w:firstRow="1" w:lastRow="0" w:firstColumn="1" w:lastColumn="0" w:noHBand="0" w:noVBand="1"/>
      </w:tblPr>
      <w:tblGrid>
        <w:gridCol w:w="2936"/>
        <w:gridCol w:w="1272"/>
        <w:gridCol w:w="2252"/>
        <w:gridCol w:w="1464"/>
        <w:gridCol w:w="894"/>
      </w:tblGrid>
      <w:tr w:rsidR="009E064D" w:rsidRPr="009E064D" w:rsidTr="00777E75">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5B9BD5"/>
            <w:noWrap/>
            <w:vAlign w:val="center"/>
            <w:hideMark/>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r w:rsidRPr="009E064D">
              <w:rPr>
                <w:rFonts w:ascii="Arial" w:eastAsia="MS Mincho" w:hAnsi="Arial" w:cs="Arial"/>
                <w:b/>
                <w:bCs/>
                <w:sz w:val="20"/>
                <w:szCs w:val="20"/>
                <w:lang w:val="en-US" w:eastAsia="es-CO"/>
              </w:rPr>
              <w:t>RED INALAMBRICA SEDE BOGOTÁ CALLE 100</w:t>
            </w:r>
          </w:p>
        </w:tc>
      </w:tr>
      <w:tr w:rsidR="009E064D" w:rsidRPr="009E064D" w:rsidTr="00777E75">
        <w:trPr>
          <w:trHeight w:val="887"/>
        </w:trPr>
        <w:tc>
          <w:tcPr>
            <w:tcW w:w="1702" w:type="pct"/>
            <w:tcBorders>
              <w:top w:val="nil"/>
              <w:left w:val="single" w:sz="8" w:space="0" w:color="auto"/>
              <w:bottom w:val="single" w:sz="4" w:space="0" w:color="auto"/>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ITEM</w:t>
            </w:r>
          </w:p>
        </w:tc>
        <w:tc>
          <w:tcPr>
            <w:tcW w:w="733" w:type="pct"/>
            <w:tcBorders>
              <w:top w:val="nil"/>
              <w:left w:val="nil"/>
              <w:bottom w:val="single" w:sz="4" w:space="0" w:color="auto"/>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CANTIDAD</w:t>
            </w:r>
          </w:p>
        </w:tc>
        <w:tc>
          <w:tcPr>
            <w:tcW w:w="1204" w:type="pct"/>
            <w:tcBorders>
              <w:top w:val="nil"/>
              <w:left w:val="nil"/>
              <w:bottom w:val="single" w:sz="4" w:space="0" w:color="auto"/>
              <w:right w:val="single" w:sz="8" w:space="0" w:color="auto"/>
            </w:tcBorders>
            <w:shd w:val="clear" w:color="auto" w:fill="auto"/>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 xml:space="preserve">VALOR UNITARIO DE REFERENCIA </w:t>
            </w:r>
          </w:p>
        </w:tc>
        <w:tc>
          <w:tcPr>
            <w:tcW w:w="892" w:type="pct"/>
            <w:tcBorders>
              <w:top w:val="nil"/>
              <w:left w:val="nil"/>
              <w:bottom w:val="single" w:sz="4" w:space="0" w:color="auto"/>
              <w:right w:val="single" w:sz="8" w:space="0" w:color="auto"/>
            </w:tcBorders>
            <w:shd w:val="clear" w:color="auto" w:fill="auto"/>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VALOR UNITARIO OFERTADO</w:t>
            </w:r>
          </w:p>
        </w:tc>
        <w:tc>
          <w:tcPr>
            <w:tcW w:w="469" w:type="pct"/>
            <w:tcBorders>
              <w:top w:val="nil"/>
              <w:left w:val="nil"/>
              <w:bottom w:val="single" w:sz="4" w:space="0" w:color="auto"/>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TOTAL</w:t>
            </w:r>
          </w:p>
        </w:tc>
      </w:tr>
      <w:tr w:rsidR="009E064D" w:rsidRPr="009E064D" w:rsidTr="00777E75">
        <w:trPr>
          <w:trHeight w:val="1200"/>
        </w:trPr>
        <w:tc>
          <w:tcPr>
            <w:tcW w:w="1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Access Point </w:t>
            </w:r>
            <w:proofErr w:type="spellStart"/>
            <w:r w:rsidRPr="009E064D">
              <w:rPr>
                <w:rFonts w:ascii="Arial" w:eastAsia="MS Mincho" w:hAnsi="Arial" w:cs="Arial"/>
                <w:sz w:val="20"/>
                <w:szCs w:val="20"/>
                <w:lang w:eastAsia="es-CO"/>
              </w:rPr>
              <w:t>Outdoor</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Ruckus</w:t>
            </w:r>
            <w:proofErr w:type="spellEnd"/>
            <w:r w:rsidRPr="009E064D">
              <w:rPr>
                <w:rFonts w:ascii="Arial" w:eastAsia="MS Mincho" w:hAnsi="Arial" w:cs="Arial"/>
                <w:sz w:val="20"/>
                <w:szCs w:val="20"/>
                <w:lang w:eastAsia="es-CO"/>
              </w:rPr>
              <w:t xml:space="preserve"> T750 con </w:t>
            </w:r>
            <w:proofErr w:type="spellStart"/>
            <w:r w:rsidRPr="009E064D">
              <w:rPr>
                <w:rFonts w:ascii="Arial" w:eastAsia="MS Mincho" w:hAnsi="Arial" w:cs="Arial"/>
                <w:sz w:val="20"/>
                <w:szCs w:val="20"/>
                <w:lang w:eastAsia="es-CO"/>
              </w:rPr>
              <w:t>Wi</w:t>
            </w:r>
            <w:proofErr w:type="spellEnd"/>
            <w:r w:rsidRPr="009E064D">
              <w:rPr>
                <w:rFonts w:ascii="Arial" w:eastAsia="MS Mincho" w:hAnsi="Arial" w:cs="Arial"/>
                <w:sz w:val="20"/>
                <w:szCs w:val="20"/>
                <w:lang w:eastAsia="es-CO"/>
              </w:rPr>
              <w:t xml:space="preserve">-Fi 6 (802.11ax) con sus respectivos accesorios de anclaje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4</w:t>
            </w:r>
          </w:p>
        </w:tc>
        <w:tc>
          <w:tcPr>
            <w:tcW w:w="1204" w:type="pct"/>
            <w:tcBorders>
              <w:top w:val="single" w:sz="4" w:space="0" w:color="auto"/>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9.050.474,00 </w:t>
            </w:r>
          </w:p>
        </w:tc>
        <w:tc>
          <w:tcPr>
            <w:tcW w:w="892" w:type="pct"/>
            <w:tcBorders>
              <w:top w:val="single" w:sz="4" w:space="0" w:color="auto"/>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915"/>
        </w:trPr>
        <w:tc>
          <w:tcPr>
            <w:tcW w:w="1702" w:type="pct"/>
            <w:tcBorders>
              <w:top w:val="nil"/>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Access Point </w:t>
            </w:r>
            <w:proofErr w:type="spellStart"/>
            <w:r w:rsidRPr="009E064D">
              <w:rPr>
                <w:rFonts w:ascii="Arial" w:eastAsia="MS Mincho" w:hAnsi="Arial" w:cs="Arial"/>
                <w:sz w:val="20"/>
                <w:szCs w:val="20"/>
                <w:lang w:eastAsia="es-CO"/>
              </w:rPr>
              <w:t>Indoor</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Ruckus</w:t>
            </w:r>
            <w:proofErr w:type="spellEnd"/>
            <w:r w:rsidRPr="009E064D">
              <w:rPr>
                <w:rFonts w:ascii="Arial" w:eastAsia="MS Mincho" w:hAnsi="Arial" w:cs="Arial"/>
                <w:sz w:val="20"/>
                <w:szCs w:val="20"/>
                <w:lang w:eastAsia="es-CO"/>
              </w:rPr>
              <w:t xml:space="preserve"> R650 con </w:t>
            </w:r>
            <w:proofErr w:type="spellStart"/>
            <w:r w:rsidRPr="009E064D">
              <w:rPr>
                <w:rFonts w:ascii="Arial" w:eastAsia="MS Mincho" w:hAnsi="Arial" w:cs="Arial"/>
                <w:sz w:val="20"/>
                <w:szCs w:val="20"/>
                <w:lang w:eastAsia="es-CO"/>
              </w:rPr>
              <w:t>Wi</w:t>
            </w:r>
            <w:proofErr w:type="spellEnd"/>
            <w:r w:rsidRPr="009E064D">
              <w:rPr>
                <w:rFonts w:ascii="Arial" w:eastAsia="MS Mincho" w:hAnsi="Arial" w:cs="Arial"/>
                <w:sz w:val="20"/>
                <w:szCs w:val="20"/>
                <w:lang w:eastAsia="es-CO"/>
              </w:rPr>
              <w:t xml:space="preserve">-Fi 6 (802.11ax) con sus respectivos accesorios de anclaje </w:t>
            </w:r>
          </w:p>
        </w:tc>
        <w:tc>
          <w:tcPr>
            <w:tcW w:w="733" w:type="pct"/>
            <w:tcBorders>
              <w:top w:val="nil"/>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170</w:t>
            </w:r>
          </w:p>
        </w:tc>
        <w:tc>
          <w:tcPr>
            <w:tcW w:w="1204" w:type="pct"/>
            <w:tcBorders>
              <w:top w:val="nil"/>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3.423.881,33 </w:t>
            </w:r>
          </w:p>
        </w:tc>
        <w:tc>
          <w:tcPr>
            <w:tcW w:w="892" w:type="pct"/>
            <w:tcBorders>
              <w:top w:val="nil"/>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300"/>
        </w:trPr>
        <w:tc>
          <w:tcPr>
            <w:tcW w:w="1702" w:type="pct"/>
            <w:tcBorders>
              <w:top w:val="nil"/>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AP </w:t>
            </w:r>
            <w:proofErr w:type="spellStart"/>
            <w:r w:rsidRPr="009E064D">
              <w:rPr>
                <w:rFonts w:ascii="Arial" w:eastAsia="MS Mincho" w:hAnsi="Arial" w:cs="Arial"/>
                <w:sz w:val="20"/>
                <w:szCs w:val="20"/>
                <w:lang w:eastAsia="es-CO"/>
              </w:rPr>
              <w:t>management</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license</w:t>
            </w:r>
            <w:proofErr w:type="spellEnd"/>
            <w:r w:rsidRPr="009E064D">
              <w:rPr>
                <w:rFonts w:ascii="Arial" w:eastAsia="MS Mincho" w:hAnsi="Arial" w:cs="Arial"/>
                <w:sz w:val="20"/>
                <w:szCs w:val="20"/>
                <w:lang w:eastAsia="es-CO"/>
              </w:rPr>
              <w:t xml:space="preserve"> </w:t>
            </w:r>
          </w:p>
        </w:tc>
        <w:tc>
          <w:tcPr>
            <w:tcW w:w="733" w:type="pct"/>
            <w:tcBorders>
              <w:top w:val="nil"/>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174</w:t>
            </w:r>
          </w:p>
        </w:tc>
        <w:tc>
          <w:tcPr>
            <w:tcW w:w="1204" w:type="pct"/>
            <w:tcBorders>
              <w:top w:val="nil"/>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240.945,67 </w:t>
            </w:r>
          </w:p>
        </w:tc>
        <w:tc>
          <w:tcPr>
            <w:tcW w:w="892" w:type="pct"/>
            <w:tcBorders>
              <w:top w:val="nil"/>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600"/>
        </w:trPr>
        <w:tc>
          <w:tcPr>
            <w:tcW w:w="1702" w:type="pct"/>
            <w:tcBorders>
              <w:top w:val="nil"/>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proofErr w:type="spellStart"/>
            <w:r w:rsidRPr="009E064D">
              <w:rPr>
                <w:rFonts w:ascii="Arial" w:eastAsia="MS Mincho" w:hAnsi="Arial" w:cs="Arial"/>
                <w:sz w:val="20"/>
                <w:szCs w:val="20"/>
                <w:lang w:eastAsia="es-CO"/>
              </w:rPr>
              <w:t>Partner</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Watchdog</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Support</w:t>
            </w:r>
            <w:proofErr w:type="spellEnd"/>
            <w:r w:rsidRPr="009E064D">
              <w:rPr>
                <w:rFonts w:ascii="Arial" w:eastAsia="MS Mincho" w:hAnsi="Arial" w:cs="Arial"/>
                <w:sz w:val="20"/>
                <w:szCs w:val="20"/>
                <w:lang w:eastAsia="es-CO"/>
              </w:rPr>
              <w:t xml:space="preserve"> Per SZ/(v)SZ AP,3 YR</w:t>
            </w:r>
          </w:p>
        </w:tc>
        <w:tc>
          <w:tcPr>
            <w:tcW w:w="733" w:type="pct"/>
            <w:tcBorders>
              <w:top w:val="nil"/>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174</w:t>
            </w:r>
          </w:p>
        </w:tc>
        <w:tc>
          <w:tcPr>
            <w:tcW w:w="1204" w:type="pct"/>
            <w:tcBorders>
              <w:top w:val="nil"/>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179.365,33 </w:t>
            </w:r>
          </w:p>
        </w:tc>
        <w:tc>
          <w:tcPr>
            <w:tcW w:w="892" w:type="pct"/>
            <w:tcBorders>
              <w:top w:val="nil"/>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315"/>
        </w:trPr>
        <w:tc>
          <w:tcPr>
            <w:tcW w:w="1702" w:type="pct"/>
            <w:tcBorders>
              <w:top w:val="nil"/>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Instalación y configuración </w:t>
            </w:r>
          </w:p>
        </w:tc>
        <w:tc>
          <w:tcPr>
            <w:tcW w:w="733" w:type="pct"/>
            <w:tcBorders>
              <w:top w:val="nil"/>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174</w:t>
            </w:r>
          </w:p>
        </w:tc>
        <w:tc>
          <w:tcPr>
            <w:tcW w:w="1204" w:type="pct"/>
            <w:tcBorders>
              <w:top w:val="nil"/>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224.733,33 </w:t>
            </w:r>
          </w:p>
        </w:tc>
        <w:tc>
          <w:tcPr>
            <w:tcW w:w="892" w:type="pct"/>
            <w:tcBorders>
              <w:top w:val="nil"/>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615"/>
        </w:trPr>
        <w:tc>
          <w:tcPr>
            <w:tcW w:w="1702" w:type="pct"/>
            <w:tcBorders>
              <w:top w:val="nil"/>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Soporte y mantenimiento canal anual 8x5 (1 año)</w:t>
            </w:r>
          </w:p>
        </w:tc>
        <w:tc>
          <w:tcPr>
            <w:tcW w:w="733" w:type="pct"/>
            <w:tcBorders>
              <w:top w:val="nil"/>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w:t>
            </w:r>
          </w:p>
        </w:tc>
        <w:tc>
          <w:tcPr>
            <w:tcW w:w="1204" w:type="pct"/>
            <w:tcBorders>
              <w:top w:val="nil"/>
              <w:left w:val="nil"/>
              <w:bottom w:val="single" w:sz="4" w:space="0" w:color="auto"/>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9.137.093,33 </w:t>
            </w:r>
          </w:p>
        </w:tc>
        <w:tc>
          <w:tcPr>
            <w:tcW w:w="892" w:type="pct"/>
            <w:tcBorders>
              <w:top w:val="nil"/>
              <w:left w:val="single" w:sz="4" w:space="0" w:color="auto"/>
              <w:bottom w:val="single" w:sz="4" w:space="0" w:color="auto"/>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630"/>
        </w:trPr>
        <w:tc>
          <w:tcPr>
            <w:tcW w:w="1702" w:type="pct"/>
            <w:tcBorders>
              <w:top w:val="nil"/>
              <w:left w:val="single" w:sz="8" w:space="0" w:color="auto"/>
              <w:bottom w:val="nil"/>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proofErr w:type="spellStart"/>
            <w:r w:rsidRPr="009E064D">
              <w:rPr>
                <w:rFonts w:ascii="Arial" w:eastAsia="MS Mincho" w:hAnsi="Arial" w:cs="Arial"/>
                <w:sz w:val="20"/>
                <w:szCs w:val="20"/>
                <w:lang w:eastAsia="es-CO"/>
              </w:rPr>
              <w:t>Power</w:t>
            </w:r>
            <w:proofErr w:type="spellEnd"/>
            <w:r w:rsidRPr="009E064D">
              <w:rPr>
                <w:rFonts w:ascii="Arial" w:eastAsia="MS Mincho" w:hAnsi="Arial" w:cs="Arial"/>
                <w:sz w:val="20"/>
                <w:szCs w:val="20"/>
                <w:lang w:eastAsia="es-CO"/>
              </w:rPr>
              <w:t xml:space="preserve"> </w:t>
            </w:r>
            <w:proofErr w:type="spellStart"/>
            <w:r w:rsidRPr="009E064D">
              <w:rPr>
                <w:rFonts w:ascii="Arial" w:eastAsia="MS Mincho" w:hAnsi="Arial" w:cs="Arial"/>
                <w:sz w:val="20"/>
                <w:szCs w:val="20"/>
                <w:lang w:eastAsia="es-CO"/>
              </w:rPr>
              <w:t>injector</w:t>
            </w:r>
            <w:proofErr w:type="spellEnd"/>
            <w:r w:rsidRPr="009E064D">
              <w:rPr>
                <w:rFonts w:ascii="Arial" w:eastAsia="MS Mincho" w:hAnsi="Arial" w:cs="Arial"/>
                <w:sz w:val="20"/>
                <w:szCs w:val="20"/>
                <w:lang w:eastAsia="es-CO"/>
              </w:rPr>
              <w:t xml:space="preserve"> (16 para </w:t>
            </w:r>
            <w:proofErr w:type="spellStart"/>
            <w:r w:rsidRPr="009E064D">
              <w:rPr>
                <w:rFonts w:ascii="Arial" w:eastAsia="MS Mincho" w:hAnsi="Arial" w:cs="Arial"/>
                <w:sz w:val="20"/>
                <w:szCs w:val="20"/>
                <w:lang w:eastAsia="es-CO"/>
              </w:rPr>
              <w:t>Ruckus</w:t>
            </w:r>
            <w:proofErr w:type="spellEnd"/>
            <w:r w:rsidRPr="009E064D">
              <w:rPr>
                <w:rFonts w:ascii="Arial" w:eastAsia="MS Mincho" w:hAnsi="Arial" w:cs="Arial"/>
                <w:sz w:val="20"/>
                <w:szCs w:val="20"/>
                <w:lang w:eastAsia="es-CO"/>
              </w:rPr>
              <w:t xml:space="preserve"> R650 y 4 para el </w:t>
            </w:r>
            <w:proofErr w:type="spellStart"/>
            <w:r w:rsidRPr="009E064D">
              <w:rPr>
                <w:rFonts w:ascii="Arial" w:eastAsia="MS Mincho" w:hAnsi="Arial" w:cs="Arial"/>
                <w:sz w:val="20"/>
                <w:szCs w:val="20"/>
                <w:lang w:eastAsia="es-CO"/>
              </w:rPr>
              <w:t>Ruckus</w:t>
            </w:r>
            <w:proofErr w:type="spellEnd"/>
            <w:r w:rsidRPr="009E064D">
              <w:rPr>
                <w:rFonts w:ascii="Arial" w:eastAsia="MS Mincho" w:hAnsi="Arial" w:cs="Arial"/>
                <w:sz w:val="20"/>
                <w:szCs w:val="20"/>
                <w:lang w:eastAsia="es-CO"/>
              </w:rPr>
              <w:t xml:space="preserve"> T750</w:t>
            </w:r>
          </w:p>
        </w:tc>
        <w:tc>
          <w:tcPr>
            <w:tcW w:w="733" w:type="pct"/>
            <w:tcBorders>
              <w:top w:val="nil"/>
              <w:left w:val="nil"/>
              <w:bottom w:val="nil"/>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20</w:t>
            </w:r>
          </w:p>
        </w:tc>
        <w:tc>
          <w:tcPr>
            <w:tcW w:w="1204" w:type="pct"/>
            <w:tcBorders>
              <w:top w:val="nil"/>
              <w:left w:val="nil"/>
              <w:bottom w:val="nil"/>
              <w:right w:val="nil"/>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214.402,33 </w:t>
            </w:r>
          </w:p>
        </w:tc>
        <w:tc>
          <w:tcPr>
            <w:tcW w:w="892" w:type="pct"/>
            <w:tcBorders>
              <w:top w:val="nil"/>
              <w:left w:val="single" w:sz="4" w:space="0" w:color="auto"/>
              <w:bottom w:val="nil"/>
              <w:right w:val="nil"/>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69" w:type="pct"/>
            <w:tcBorders>
              <w:top w:val="nil"/>
              <w:left w:val="single" w:sz="4" w:space="0" w:color="auto"/>
              <w:bottom w:val="single" w:sz="4"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315"/>
        </w:trPr>
        <w:tc>
          <w:tcPr>
            <w:tcW w:w="4531"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 xml:space="preserve"> Subtotal SIN IVA</w:t>
            </w:r>
          </w:p>
        </w:tc>
        <w:tc>
          <w:tcPr>
            <w:tcW w:w="469" w:type="pct"/>
            <w:tcBorders>
              <w:top w:val="single" w:sz="8" w:space="0" w:color="auto"/>
              <w:left w:val="nil"/>
              <w:bottom w:val="single" w:sz="8"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p>
        </w:tc>
      </w:tr>
      <w:tr w:rsidR="009E064D" w:rsidRPr="009E064D" w:rsidTr="00777E75">
        <w:trPr>
          <w:trHeight w:val="315"/>
        </w:trPr>
        <w:tc>
          <w:tcPr>
            <w:tcW w:w="4531"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IVA 19%</w:t>
            </w:r>
          </w:p>
        </w:tc>
        <w:tc>
          <w:tcPr>
            <w:tcW w:w="469" w:type="pct"/>
            <w:tcBorders>
              <w:top w:val="nil"/>
              <w:left w:val="nil"/>
              <w:bottom w:val="single" w:sz="8"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315"/>
        </w:trPr>
        <w:tc>
          <w:tcPr>
            <w:tcW w:w="4531" w:type="pct"/>
            <w:gridSpan w:val="4"/>
            <w:tcBorders>
              <w:top w:val="single" w:sz="8" w:space="0" w:color="auto"/>
              <w:left w:val="single" w:sz="8" w:space="0" w:color="auto"/>
              <w:bottom w:val="single" w:sz="8" w:space="0" w:color="auto"/>
              <w:right w:val="single" w:sz="8" w:space="0" w:color="000000"/>
            </w:tcBorders>
            <w:shd w:val="clear" w:color="000000" w:fill="FFF2CC"/>
            <w:noWrap/>
            <w:vAlign w:val="center"/>
            <w:hideMark/>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r w:rsidRPr="009E064D">
              <w:rPr>
                <w:rFonts w:ascii="Arial" w:eastAsia="MS Mincho" w:hAnsi="Arial" w:cs="Arial"/>
                <w:b/>
                <w:bCs/>
                <w:sz w:val="20"/>
                <w:szCs w:val="20"/>
                <w:lang w:val="es-ES_tradnl" w:eastAsia="es-CO"/>
              </w:rPr>
              <w:t xml:space="preserve">VALOR CON IVA (Implementación </w:t>
            </w:r>
            <w:proofErr w:type="spellStart"/>
            <w:r w:rsidRPr="009E064D">
              <w:rPr>
                <w:rFonts w:ascii="Arial" w:eastAsia="MS Mincho" w:hAnsi="Arial" w:cs="Arial"/>
                <w:b/>
                <w:bCs/>
                <w:sz w:val="20"/>
                <w:szCs w:val="20"/>
                <w:lang w:val="es-ES_tradnl" w:eastAsia="es-CO"/>
              </w:rPr>
              <w:t>Wi</w:t>
            </w:r>
            <w:proofErr w:type="spellEnd"/>
            <w:r w:rsidRPr="009E064D">
              <w:rPr>
                <w:rFonts w:ascii="Arial" w:eastAsia="MS Mincho" w:hAnsi="Arial" w:cs="Arial"/>
                <w:b/>
                <w:bCs/>
                <w:sz w:val="20"/>
                <w:szCs w:val="20"/>
                <w:lang w:val="es-ES_tradnl" w:eastAsia="es-CO"/>
              </w:rPr>
              <w:t>-Fi Sede Bogotá calle 100)</w:t>
            </w:r>
          </w:p>
        </w:tc>
        <w:tc>
          <w:tcPr>
            <w:tcW w:w="469" w:type="pct"/>
            <w:tcBorders>
              <w:top w:val="nil"/>
              <w:left w:val="nil"/>
              <w:bottom w:val="single" w:sz="8" w:space="0" w:color="auto"/>
              <w:right w:val="single" w:sz="8" w:space="0" w:color="auto"/>
            </w:tcBorders>
            <w:shd w:val="clear" w:color="000000" w:fill="FFF2CC"/>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bl>
    <w:p w:rsidR="009E064D" w:rsidRPr="009E064D" w:rsidRDefault="009E064D" w:rsidP="009E064D">
      <w:pPr>
        <w:pBdr>
          <w:top w:val="nil"/>
          <w:left w:val="nil"/>
          <w:bottom w:val="nil"/>
          <w:right w:val="nil"/>
          <w:between w:val="nil"/>
        </w:pBdr>
        <w:spacing w:after="0" w:line="240" w:lineRule="auto"/>
        <w:jc w:val="both"/>
        <w:rPr>
          <w:rFonts w:ascii="Arial" w:eastAsia="Arial" w:hAnsi="Arial" w:cs="Arial"/>
          <w:bCs/>
          <w:sz w:val="20"/>
          <w:szCs w:val="20"/>
          <w:lang w:val="es-ES_tradnl" w:eastAsia="es-ES"/>
        </w:rPr>
      </w:pPr>
    </w:p>
    <w:tbl>
      <w:tblPr>
        <w:tblW w:w="5000" w:type="pct"/>
        <w:tblCellMar>
          <w:left w:w="70" w:type="dxa"/>
          <w:right w:w="70" w:type="dxa"/>
        </w:tblCellMar>
        <w:tblLook w:val="04A0" w:firstRow="1" w:lastRow="0" w:firstColumn="1" w:lastColumn="0" w:noHBand="0" w:noVBand="1"/>
      </w:tblPr>
      <w:tblGrid>
        <w:gridCol w:w="2833"/>
        <w:gridCol w:w="1336"/>
        <w:gridCol w:w="2160"/>
        <w:gridCol w:w="1615"/>
        <w:gridCol w:w="874"/>
      </w:tblGrid>
      <w:tr w:rsidR="009E064D" w:rsidRPr="009E064D" w:rsidTr="00777E75">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5B9BD5"/>
            <w:noWrap/>
            <w:vAlign w:val="center"/>
            <w:hideMark/>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r w:rsidRPr="009E064D">
              <w:rPr>
                <w:rFonts w:ascii="Arial" w:eastAsia="MS Mincho" w:hAnsi="Arial" w:cs="Arial"/>
                <w:b/>
                <w:bCs/>
                <w:sz w:val="20"/>
                <w:szCs w:val="20"/>
                <w:lang w:val="es-ES_tradnl" w:eastAsia="es-CO"/>
              </w:rPr>
              <w:t>SWITCHES DE ACCESO SEDE BOGOTÁ CALLE 100, FACULTAD DE MEDICINA Y CIENCIAS DE LA SALUD Y SEDE CAMPUS NUEVA GRANADA</w:t>
            </w:r>
          </w:p>
        </w:tc>
      </w:tr>
      <w:tr w:rsidR="009E064D" w:rsidRPr="009E064D" w:rsidTr="00777E75">
        <w:trPr>
          <w:trHeight w:val="870"/>
        </w:trPr>
        <w:tc>
          <w:tcPr>
            <w:tcW w:w="1625" w:type="pct"/>
            <w:tcBorders>
              <w:top w:val="nil"/>
              <w:left w:val="single" w:sz="8" w:space="0" w:color="auto"/>
              <w:bottom w:val="nil"/>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ITEM</w:t>
            </w:r>
          </w:p>
        </w:tc>
        <w:tc>
          <w:tcPr>
            <w:tcW w:w="750" w:type="pct"/>
            <w:tcBorders>
              <w:top w:val="nil"/>
              <w:left w:val="nil"/>
              <w:bottom w:val="nil"/>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CANTIDAD</w:t>
            </w:r>
          </w:p>
        </w:tc>
        <w:tc>
          <w:tcPr>
            <w:tcW w:w="1232" w:type="pct"/>
            <w:tcBorders>
              <w:top w:val="nil"/>
              <w:left w:val="nil"/>
              <w:bottom w:val="nil"/>
              <w:right w:val="single" w:sz="8" w:space="0" w:color="auto"/>
            </w:tcBorders>
            <w:shd w:val="clear" w:color="auto" w:fill="auto"/>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 xml:space="preserve">VALOR UNITARIO DE REFERENCIA </w:t>
            </w:r>
          </w:p>
        </w:tc>
        <w:tc>
          <w:tcPr>
            <w:tcW w:w="913" w:type="pct"/>
            <w:tcBorders>
              <w:top w:val="nil"/>
              <w:left w:val="nil"/>
              <w:bottom w:val="nil"/>
              <w:right w:val="single" w:sz="8" w:space="0" w:color="auto"/>
            </w:tcBorders>
            <w:shd w:val="clear" w:color="auto" w:fill="auto"/>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VALOR UNITARIO OFERTADO</w:t>
            </w:r>
          </w:p>
        </w:tc>
        <w:tc>
          <w:tcPr>
            <w:tcW w:w="480" w:type="pct"/>
            <w:tcBorders>
              <w:top w:val="nil"/>
              <w:left w:val="nil"/>
              <w:bottom w:val="nil"/>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TOTAL</w:t>
            </w:r>
          </w:p>
        </w:tc>
      </w:tr>
      <w:tr w:rsidR="009E064D" w:rsidRPr="009E064D" w:rsidTr="00777E75">
        <w:trPr>
          <w:trHeight w:val="900"/>
        </w:trPr>
        <w:tc>
          <w:tcPr>
            <w:tcW w:w="162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Juniper EX3400-24P (740 </w:t>
            </w:r>
            <w:proofErr w:type="spellStart"/>
            <w:r w:rsidRPr="009E064D">
              <w:rPr>
                <w:rFonts w:ascii="Arial" w:eastAsia="MS Mincho" w:hAnsi="Arial" w:cs="Arial"/>
                <w:sz w:val="20"/>
                <w:szCs w:val="20"/>
                <w:lang w:eastAsia="es-CO"/>
              </w:rPr>
              <w:t>watios</w:t>
            </w:r>
            <w:proofErr w:type="spellEnd"/>
            <w:r w:rsidRPr="009E064D">
              <w:rPr>
                <w:rFonts w:ascii="Arial" w:eastAsia="MS Mincho" w:hAnsi="Arial" w:cs="Arial"/>
                <w:sz w:val="20"/>
                <w:szCs w:val="20"/>
                <w:lang w:eastAsia="es-CO"/>
              </w:rPr>
              <w:t>) 24 Puertos. Con soporte y garantía de fábrica por 3 años</w:t>
            </w:r>
          </w:p>
        </w:tc>
        <w:tc>
          <w:tcPr>
            <w:tcW w:w="750" w:type="pct"/>
            <w:tcBorders>
              <w:top w:val="single" w:sz="8"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3</w:t>
            </w:r>
          </w:p>
        </w:tc>
        <w:tc>
          <w:tcPr>
            <w:tcW w:w="1232" w:type="pct"/>
            <w:tcBorders>
              <w:top w:val="single" w:sz="8" w:space="0" w:color="auto"/>
              <w:left w:val="nil"/>
              <w:bottom w:val="single" w:sz="4" w:space="0" w:color="auto"/>
              <w:right w:val="single" w:sz="4" w:space="0" w:color="auto"/>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10.376.633,33 </w:t>
            </w:r>
          </w:p>
        </w:tc>
        <w:tc>
          <w:tcPr>
            <w:tcW w:w="913" w:type="pct"/>
            <w:tcBorders>
              <w:top w:val="single" w:sz="8"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80" w:type="pct"/>
            <w:tcBorders>
              <w:top w:val="single" w:sz="8" w:space="0" w:color="auto"/>
              <w:left w:val="nil"/>
              <w:bottom w:val="single" w:sz="4" w:space="0" w:color="auto"/>
              <w:right w:val="single" w:sz="8"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90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Juniper EX3400-48P (1440 </w:t>
            </w:r>
            <w:proofErr w:type="spellStart"/>
            <w:r w:rsidRPr="009E064D">
              <w:rPr>
                <w:rFonts w:ascii="Arial" w:eastAsia="MS Mincho" w:hAnsi="Arial" w:cs="Arial"/>
                <w:sz w:val="20"/>
                <w:szCs w:val="20"/>
                <w:lang w:eastAsia="es-CO"/>
              </w:rPr>
              <w:t>watios</w:t>
            </w:r>
            <w:proofErr w:type="spellEnd"/>
            <w:r w:rsidRPr="009E064D">
              <w:rPr>
                <w:rFonts w:ascii="Arial" w:eastAsia="MS Mincho" w:hAnsi="Arial" w:cs="Arial"/>
                <w:sz w:val="20"/>
                <w:szCs w:val="20"/>
                <w:lang w:eastAsia="es-CO"/>
              </w:rPr>
              <w:t>) 48 Puertos. Con soporte y garantía de fábrica por 3 años</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3</w:t>
            </w:r>
          </w:p>
        </w:tc>
        <w:tc>
          <w:tcPr>
            <w:tcW w:w="1232" w:type="pct"/>
            <w:tcBorders>
              <w:top w:val="single" w:sz="4" w:space="0" w:color="auto"/>
              <w:left w:val="nil"/>
              <w:bottom w:val="single" w:sz="4" w:space="0" w:color="auto"/>
              <w:right w:val="single" w:sz="4" w:space="0" w:color="auto"/>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20.332.083,33 </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90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Cisco C9200L-24P-4X-E (600 </w:t>
            </w:r>
            <w:proofErr w:type="spellStart"/>
            <w:r w:rsidRPr="009E064D">
              <w:rPr>
                <w:rFonts w:ascii="Arial" w:eastAsia="MS Mincho" w:hAnsi="Arial" w:cs="Arial"/>
                <w:sz w:val="20"/>
                <w:szCs w:val="20"/>
                <w:lang w:eastAsia="es-CO"/>
              </w:rPr>
              <w:t>watios</w:t>
            </w:r>
            <w:proofErr w:type="spellEnd"/>
            <w:r w:rsidRPr="009E064D">
              <w:rPr>
                <w:rFonts w:ascii="Arial" w:eastAsia="MS Mincho" w:hAnsi="Arial" w:cs="Arial"/>
                <w:sz w:val="20"/>
                <w:szCs w:val="20"/>
                <w:lang w:eastAsia="es-CO"/>
              </w:rPr>
              <w:t>) 24Puertos. Con soporte y garantía de fábrica por 3 años</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6</w:t>
            </w:r>
          </w:p>
        </w:tc>
        <w:tc>
          <w:tcPr>
            <w:tcW w:w="1232" w:type="pct"/>
            <w:tcBorders>
              <w:top w:val="single" w:sz="4" w:space="0" w:color="auto"/>
              <w:left w:val="nil"/>
              <w:bottom w:val="single" w:sz="4" w:space="0" w:color="auto"/>
              <w:right w:val="single" w:sz="4" w:space="0" w:color="auto"/>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13.417.876,67 </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90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lastRenderedPageBreak/>
              <w:t xml:space="preserve">Cisco C9200L-48P-4X-E (600 </w:t>
            </w:r>
            <w:proofErr w:type="spellStart"/>
            <w:r w:rsidRPr="009E064D">
              <w:rPr>
                <w:rFonts w:ascii="Arial" w:eastAsia="MS Mincho" w:hAnsi="Arial" w:cs="Arial"/>
                <w:sz w:val="20"/>
                <w:szCs w:val="20"/>
                <w:lang w:eastAsia="es-CO"/>
              </w:rPr>
              <w:t>watios</w:t>
            </w:r>
            <w:proofErr w:type="spellEnd"/>
            <w:r w:rsidRPr="009E064D">
              <w:rPr>
                <w:rFonts w:ascii="Arial" w:eastAsia="MS Mincho" w:hAnsi="Arial" w:cs="Arial"/>
                <w:sz w:val="20"/>
                <w:szCs w:val="20"/>
                <w:lang w:eastAsia="es-CO"/>
              </w:rPr>
              <w:t>) 48 Puertos. Con soporte y garantía de fábrica por 3 años</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3</w:t>
            </w:r>
          </w:p>
        </w:tc>
        <w:tc>
          <w:tcPr>
            <w:tcW w:w="1232" w:type="pct"/>
            <w:tcBorders>
              <w:top w:val="single" w:sz="4" w:space="0" w:color="auto"/>
              <w:left w:val="nil"/>
              <w:bottom w:val="single" w:sz="4" w:space="0" w:color="auto"/>
              <w:right w:val="single" w:sz="4" w:space="0" w:color="auto"/>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21.582.916,67 </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615"/>
        </w:trPr>
        <w:tc>
          <w:tcPr>
            <w:tcW w:w="1625" w:type="pct"/>
            <w:tcBorders>
              <w:top w:val="nil"/>
              <w:left w:val="single" w:sz="8" w:space="0" w:color="auto"/>
              <w:bottom w:val="single" w:sz="8" w:space="0" w:color="auto"/>
              <w:right w:val="single" w:sz="4" w:space="0" w:color="auto"/>
            </w:tcBorders>
            <w:shd w:val="clear" w:color="auto" w:fill="auto"/>
            <w:vAlign w:val="center"/>
            <w:hideMark/>
          </w:tcPr>
          <w:p w:rsidR="009E064D" w:rsidRPr="009E064D" w:rsidRDefault="009E064D" w:rsidP="009E064D">
            <w:pPr>
              <w:spacing w:after="0" w:line="240" w:lineRule="auto"/>
              <w:ind w:hanging="2"/>
              <w:rPr>
                <w:rFonts w:ascii="Arial" w:eastAsia="MS Mincho" w:hAnsi="Arial" w:cs="Arial"/>
                <w:sz w:val="20"/>
                <w:szCs w:val="20"/>
                <w:lang w:eastAsia="es-CO"/>
              </w:rPr>
            </w:pPr>
            <w:r w:rsidRPr="009E064D">
              <w:rPr>
                <w:rFonts w:ascii="Arial" w:eastAsia="MS Mincho" w:hAnsi="Arial" w:cs="Arial"/>
                <w:sz w:val="20"/>
                <w:szCs w:val="20"/>
                <w:lang w:eastAsia="es-CO"/>
              </w:rPr>
              <w:t xml:space="preserve">Instalación y configuración </w:t>
            </w:r>
            <w:proofErr w:type="spellStart"/>
            <w:r w:rsidRPr="009E064D">
              <w:rPr>
                <w:rFonts w:ascii="Arial" w:eastAsia="MS Mincho" w:hAnsi="Arial" w:cs="Arial"/>
                <w:sz w:val="20"/>
                <w:szCs w:val="20"/>
                <w:lang w:eastAsia="es-CO"/>
              </w:rPr>
              <w:t>switches</w:t>
            </w:r>
            <w:proofErr w:type="spellEnd"/>
            <w:r w:rsidRPr="009E064D">
              <w:rPr>
                <w:rFonts w:ascii="Arial" w:eastAsia="MS Mincho" w:hAnsi="Arial" w:cs="Arial"/>
                <w:sz w:val="20"/>
                <w:szCs w:val="20"/>
                <w:lang w:eastAsia="es-CO"/>
              </w:rPr>
              <w:t xml:space="preserve"> cisco y </w:t>
            </w:r>
            <w:proofErr w:type="spellStart"/>
            <w:r w:rsidRPr="009E064D">
              <w:rPr>
                <w:rFonts w:ascii="Arial" w:eastAsia="MS Mincho" w:hAnsi="Arial" w:cs="Arial"/>
                <w:sz w:val="20"/>
                <w:szCs w:val="20"/>
                <w:lang w:eastAsia="es-CO"/>
              </w:rPr>
              <w:t>juniper</w:t>
            </w:r>
            <w:proofErr w:type="spellEnd"/>
          </w:p>
        </w:tc>
        <w:tc>
          <w:tcPr>
            <w:tcW w:w="750" w:type="pct"/>
            <w:tcBorders>
              <w:top w:val="nil"/>
              <w:left w:val="nil"/>
              <w:bottom w:val="single" w:sz="8"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15</w:t>
            </w:r>
          </w:p>
        </w:tc>
        <w:tc>
          <w:tcPr>
            <w:tcW w:w="1232" w:type="pct"/>
            <w:tcBorders>
              <w:top w:val="nil"/>
              <w:left w:val="nil"/>
              <w:bottom w:val="single" w:sz="8" w:space="0" w:color="auto"/>
              <w:right w:val="single" w:sz="4" w:space="0" w:color="auto"/>
            </w:tcBorders>
            <w:shd w:val="clear" w:color="000000" w:fill="D9E1F2"/>
            <w:noWrap/>
            <w:vAlign w:val="center"/>
            <w:hideMark/>
          </w:tcPr>
          <w:p w:rsidR="009E064D" w:rsidRPr="009E064D" w:rsidRDefault="009E064D" w:rsidP="009E064D">
            <w:pPr>
              <w:spacing w:after="0" w:line="240" w:lineRule="auto"/>
              <w:ind w:hanging="2"/>
              <w:rPr>
                <w:rFonts w:ascii="Arial" w:eastAsia="MS Mincho" w:hAnsi="Arial" w:cs="Arial"/>
                <w:b/>
                <w:bCs/>
                <w:i/>
                <w:iCs/>
                <w:sz w:val="20"/>
                <w:szCs w:val="20"/>
                <w:lang w:eastAsia="es-CO"/>
              </w:rPr>
            </w:pPr>
            <w:r w:rsidRPr="009E064D">
              <w:rPr>
                <w:rFonts w:ascii="Arial" w:eastAsia="MS Mincho" w:hAnsi="Arial" w:cs="Arial"/>
                <w:b/>
                <w:bCs/>
                <w:i/>
                <w:iCs/>
                <w:sz w:val="20"/>
                <w:szCs w:val="20"/>
                <w:lang w:eastAsia="es-CO"/>
              </w:rPr>
              <w:t xml:space="preserve"> $              338.000,00 </w:t>
            </w:r>
          </w:p>
        </w:tc>
        <w:tc>
          <w:tcPr>
            <w:tcW w:w="913" w:type="pct"/>
            <w:tcBorders>
              <w:top w:val="nil"/>
              <w:left w:val="nil"/>
              <w:bottom w:val="single" w:sz="8" w:space="0" w:color="auto"/>
              <w:right w:val="single" w:sz="4" w:space="0" w:color="auto"/>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eastAsia="es-CO"/>
              </w:rPr>
              <w:t> </w:t>
            </w:r>
          </w:p>
        </w:tc>
        <w:tc>
          <w:tcPr>
            <w:tcW w:w="480" w:type="pct"/>
            <w:tcBorders>
              <w:top w:val="nil"/>
              <w:left w:val="nil"/>
              <w:bottom w:val="single" w:sz="8"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center"/>
              <w:rPr>
                <w:rFonts w:ascii="Arial" w:eastAsia="MS Mincho" w:hAnsi="Arial" w:cs="Arial"/>
                <w:sz w:val="20"/>
                <w:szCs w:val="20"/>
                <w:lang w:eastAsia="es-CO"/>
              </w:rPr>
            </w:pPr>
          </w:p>
        </w:tc>
      </w:tr>
      <w:tr w:rsidR="009E064D" w:rsidRPr="009E064D" w:rsidTr="00777E75">
        <w:trPr>
          <w:trHeight w:val="315"/>
        </w:trPr>
        <w:tc>
          <w:tcPr>
            <w:tcW w:w="4520" w:type="pct"/>
            <w:gridSpan w:val="4"/>
            <w:tcBorders>
              <w:top w:val="nil"/>
              <w:left w:val="single" w:sz="8" w:space="0" w:color="auto"/>
              <w:bottom w:val="single" w:sz="8" w:space="0" w:color="auto"/>
              <w:right w:val="single" w:sz="8" w:space="0" w:color="000000"/>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 xml:space="preserve"> Subtotal SIN IVA</w:t>
            </w:r>
          </w:p>
        </w:tc>
        <w:tc>
          <w:tcPr>
            <w:tcW w:w="480" w:type="pct"/>
            <w:tcBorders>
              <w:top w:val="nil"/>
              <w:left w:val="nil"/>
              <w:bottom w:val="single" w:sz="8"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right"/>
              <w:rPr>
                <w:rFonts w:ascii="Arial" w:eastAsia="MS Mincho" w:hAnsi="Arial" w:cs="Arial"/>
                <w:b/>
                <w:bCs/>
                <w:sz w:val="20"/>
                <w:szCs w:val="20"/>
                <w:lang w:eastAsia="es-CO"/>
              </w:rPr>
            </w:pPr>
          </w:p>
        </w:tc>
      </w:tr>
      <w:tr w:rsidR="009E064D" w:rsidRPr="009E064D" w:rsidTr="00777E75">
        <w:trPr>
          <w:trHeight w:val="315"/>
        </w:trPr>
        <w:tc>
          <w:tcPr>
            <w:tcW w:w="4520"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064D" w:rsidRPr="009E064D" w:rsidRDefault="009E064D" w:rsidP="009E064D">
            <w:pPr>
              <w:spacing w:after="0" w:line="240" w:lineRule="auto"/>
              <w:ind w:hanging="2"/>
              <w:jc w:val="center"/>
              <w:rPr>
                <w:rFonts w:ascii="Arial" w:eastAsia="MS Mincho" w:hAnsi="Arial" w:cs="Arial"/>
                <w:sz w:val="20"/>
                <w:szCs w:val="20"/>
                <w:lang w:eastAsia="es-CO"/>
              </w:rPr>
            </w:pPr>
            <w:r w:rsidRPr="009E064D">
              <w:rPr>
                <w:rFonts w:ascii="Arial" w:eastAsia="MS Mincho" w:hAnsi="Arial" w:cs="Arial"/>
                <w:sz w:val="20"/>
                <w:szCs w:val="20"/>
                <w:lang w:val="en-US" w:eastAsia="es-CO"/>
              </w:rPr>
              <w:t>IVA 19%</w:t>
            </w:r>
          </w:p>
        </w:tc>
        <w:tc>
          <w:tcPr>
            <w:tcW w:w="480" w:type="pct"/>
            <w:tcBorders>
              <w:top w:val="nil"/>
              <w:left w:val="nil"/>
              <w:bottom w:val="single" w:sz="8" w:space="0" w:color="auto"/>
              <w:right w:val="single" w:sz="8" w:space="0" w:color="auto"/>
            </w:tcBorders>
            <w:shd w:val="clear" w:color="auto" w:fill="auto"/>
            <w:noWrap/>
            <w:vAlign w:val="center"/>
          </w:tcPr>
          <w:p w:rsidR="009E064D" w:rsidRPr="009E064D" w:rsidRDefault="009E064D" w:rsidP="009E064D">
            <w:pPr>
              <w:spacing w:after="0" w:line="240" w:lineRule="auto"/>
              <w:ind w:hanging="2"/>
              <w:jc w:val="right"/>
              <w:rPr>
                <w:rFonts w:ascii="Arial" w:eastAsia="MS Mincho" w:hAnsi="Arial" w:cs="Arial"/>
                <w:sz w:val="20"/>
                <w:szCs w:val="20"/>
                <w:lang w:eastAsia="es-CO"/>
              </w:rPr>
            </w:pPr>
          </w:p>
        </w:tc>
      </w:tr>
      <w:tr w:rsidR="009E064D" w:rsidRPr="009E064D" w:rsidTr="00777E75">
        <w:trPr>
          <w:trHeight w:val="315"/>
        </w:trPr>
        <w:tc>
          <w:tcPr>
            <w:tcW w:w="4520" w:type="pct"/>
            <w:gridSpan w:val="4"/>
            <w:tcBorders>
              <w:top w:val="single" w:sz="8" w:space="0" w:color="auto"/>
              <w:left w:val="nil"/>
              <w:bottom w:val="nil"/>
              <w:right w:val="single" w:sz="8" w:space="0" w:color="000000"/>
            </w:tcBorders>
            <w:shd w:val="clear" w:color="000000" w:fill="FFF2CC"/>
            <w:noWrap/>
            <w:vAlign w:val="center"/>
            <w:hideMark/>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r w:rsidRPr="009E064D">
              <w:rPr>
                <w:rFonts w:ascii="Arial" w:eastAsia="MS Mincho" w:hAnsi="Arial" w:cs="Arial"/>
                <w:b/>
                <w:bCs/>
                <w:sz w:val="20"/>
                <w:szCs w:val="20"/>
                <w:lang w:val="es-ES_tradnl" w:eastAsia="es-CO"/>
              </w:rPr>
              <w:t xml:space="preserve">VALOR CON IVA (Suministro e instalación de </w:t>
            </w:r>
            <w:proofErr w:type="spellStart"/>
            <w:r w:rsidRPr="009E064D">
              <w:rPr>
                <w:rFonts w:ascii="Arial" w:eastAsia="MS Mincho" w:hAnsi="Arial" w:cs="Arial"/>
                <w:b/>
                <w:bCs/>
                <w:sz w:val="20"/>
                <w:szCs w:val="20"/>
                <w:lang w:val="es-ES_tradnl" w:eastAsia="es-CO"/>
              </w:rPr>
              <w:t>switches</w:t>
            </w:r>
            <w:proofErr w:type="spellEnd"/>
            <w:r w:rsidRPr="009E064D">
              <w:rPr>
                <w:rFonts w:ascii="Arial" w:eastAsia="MS Mincho" w:hAnsi="Arial" w:cs="Arial"/>
                <w:b/>
                <w:bCs/>
                <w:sz w:val="20"/>
                <w:szCs w:val="20"/>
                <w:lang w:val="es-ES_tradnl" w:eastAsia="es-CO"/>
              </w:rPr>
              <w:t>)</w:t>
            </w:r>
          </w:p>
        </w:tc>
        <w:tc>
          <w:tcPr>
            <w:tcW w:w="480" w:type="pct"/>
            <w:tcBorders>
              <w:top w:val="nil"/>
              <w:left w:val="nil"/>
              <w:bottom w:val="single" w:sz="8" w:space="0" w:color="auto"/>
              <w:right w:val="single" w:sz="8" w:space="0" w:color="auto"/>
            </w:tcBorders>
            <w:shd w:val="clear" w:color="000000" w:fill="FFF2CC"/>
            <w:noWrap/>
            <w:vAlign w:val="center"/>
          </w:tcPr>
          <w:p w:rsidR="009E064D" w:rsidRPr="009E064D" w:rsidRDefault="009E064D" w:rsidP="009E064D">
            <w:pPr>
              <w:spacing w:after="0" w:line="240" w:lineRule="auto"/>
              <w:ind w:hanging="2"/>
              <w:jc w:val="right"/>
              <w:rPr>
                <w:rFonts w:ascii="Arial" w:eastAsia="MS Mincho" w:hAnsi="Arial" w:cs="Arial"/>
                <w:sz w:val="20"/>
                <w:szCs w:val="20"/>
                <w:lang w:eastAsia="es-CO"/>
              </w:rPr>
            </w:pPr>
          </w:p>
        </w:tc>
      </w:tr>
      <w:tr w:rsidR="009E064D" w:rsidRPr="009E064D" w:rsidTr="00777E75">
        <w:trPr>
          <w:trHeight w:val="315"/>
        </w:trPr>
        <w:tc>
          <w:tcPr>
            <w:tcW w:w="4520" w:type="pct"/>
            <w:gridSpan w:val="4"/>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9E064D" w:rsidRPr="009E064D" w:rsidRDefault="009E064D" w:rsidP="009E064D">
            <w:pPr>
              <w:spacing w:after="0" w:line="240" w:lineRule="auto"/>
              <w:ind w:hanging="2"/>
              <w:jc w:val="center"/>
              <w:rPr>
                <w:rFonts w:ascii="Arial" w:eastAsia="MS Mincho" w:hAnsi="Arial" w:cs="Arial"/>
                <w:b/>
                <w:bCs/>
                <w:sz w:val="20"/>
                <w:szCs w:val="20"/>
                <w:lang w:eastAsia="es-CO"/>
              </w:rPr>
            </w:pPr>
            <w:r w:rsidRPr="009E064D">
              <w:rPr>
                <w:rFonts w:ascii="Arial" w:eastAsia="MS Mincho" w:hAnsi="Arial" w:cs="Arial"/>
                <w:b/>
                <w:bCs/>
                <w:sz w:val="20"/>
                <w:szCs w:val="20"/>
                <w:lang w:val="es-ES_tradnl" w:eastAsia="es-CO"/>
              </w:rPr>
              <w:t xml:space="preserve">VALOR TOTAL CON IVA (Implementación </w:t>
            </w:r>
            <w:proofErr w:type="spellStart"/>
            <w:r w:rsidRPr="009E064D">
              <w:rPr>
                <w:rFonts w:ascii="Arial" w:eastAsia="MS Mincho" w:hAnsi="Arial" w:cs="Arial"/>
                <w:b/>
                <w:bCs/>
                <w:sz w:val="20"/>
                <w:szCs w:val="20"/>
                <w:lang w:val="es-ES_tradnl" w:eastAsia="es-CO"/>
              </w:rPr>
              <w:t>Wi</w:t>
            </w:r>
            <w:proofErr w:type="spellEnd"/>
            <w:r w:rsidRPr="009E064D">
              <w:rPr>
                <w:rFonts w:ascii="Arial" w:eastAsia="MS Mincho" w:hAnsi="Arial" w:cs="Arial"/>
                <w:b/>
                <w:bCs/>
                <w:sz w:val="20"/>
                <w:szCs w:val="20"/>
                <w:lang w:val="es-ES_tradnl" w:eastAsia="es-CO"/>
              </w:rPr>
              <w:t xml:space="preserve">-Fi + Suministro e Instalación de </w:t>
            </w:r>
            <w:proofErr w:type="spellStart"/>
            <w:r w:rsidRPr="009E064D">
              <w:rPr>
                <w:rFonts w:ascii="Arial" w:eastAsia="MS Mincho" w:hAnsi="Arial" w:cs="Arial"/>
                <w:b/>
                <w:bCs/>
                <w:sz w:val="20"/>
                <w:szCs w:val="20"/>
                <w:lang w:val="es-ES_tradnl" w:eastAsia="es-CO"/>
              </w:rPr>
              <w:t>Switches</w:t>
            </w:r>
            <w:proofErr w:type="spellEnd"/>
            <w:r w:rsidRPr="009E064D">
              <w:rPr>
                <w:rFonts w:ascii="Arial" w:eastAsia="MS Mincho" w:hAnsi="Arial" w:cs="Arial"/>
                <w:b/>
                <w:bCs/>
                <w:sz w:val="20"/>
                <w:szCs w:val="20"/>
                <w:lang w:val="es-ES_tradnl" w:eastAsia="es-CO"/>
              </w:rPr>
              <w:t>)</w:t>
            </w:r>
          </w:p>
        </w:tc>
        <w:tc>
          <w:tcPr>
            <w:tcW w:w="480" w:type="pct"/>
            <w:tcBorders>
              <w:top w:val="nil"/>
              <w:left w:val="nil"/>
              <w:bottom w:val="single" w:sz="8" w:space="0" w:color="auto"/>
              <w:right w:val="single" w:sz="8" w:space="0" w:color="auto"/>
            </w:tcBorders>
            <w:shd w:val="clear" w:color="000000" w:fill="92D050"/>
            <w:noWrap/>
            <w:vAlign w:val="center"/>
          </w:tcPr>
          <w:p w:rsidR="009E064D" w:rsidRPr="009E064D" w:rsidRDefault="009E064D" w:rsidP="009E064D">
            <w:pPr>
              <w:spacing w:after="0" w:line="240" w:lineRule="auto"/>
              <w:ind w:hanging="2"/>
              <w:jc w:val="right"/>
              <w:rPr>
                <w:rFonts w:ascii="Arial" w:eastAsia="MS Mincho" w:hAnsi="Arial" w:cs="Arial"/>
                <w:sz w:val="20"/>
                <w:szCs w:val="20"/>
                <w:lang w:eastAsia="es-CO"/>
              </w:rPr>
            </w:pPr>
          </w:p>
        </w:tc>
      </w:tr>
    </w:tbl>
    <w:p w:rsidR="009E064D" w:rsidRPr="009E064D" w:rsidRDefault="009E064D" w:rsidP="009E064D">
      <w:pPr>
        <w:spacing w:after="0" w:line="240" w:lineRule="auto"/>
        <w:jc w:val="center"/>
        <w:rPr>
          <w:rFonts w:ascii="Arial" w:eastAsia="MS Mincho" w:hAnsi="Arial" w:cs="Arial"/>
          <w:b/>
          <w:sz w:val="20"/>
          <w:szCs w:val="20"/>
          <w:lang w:eastAsia="es-ES"/>
        </w:rPr>
      </w:pPr>
    </w:p>
    <w:p w:rsidR="009E064D" w:rsidRPr="009E064D" w:rsidRDefault="009E064D" w:rsidP="009E064D">
      <w:pPr>
        <w:spacing w:after="0" w:line="240" w:lineRule="auto"/>
        <w:rPr>
          <w:rFonts w:ascii="Arial" w:eastAsia="MS Mincho" w:hAnsi="Arial" w:cs="Arial"/>
          <w:bCs/>
          <w:sz w:val="20"/>
          <w:szCs w:val="20"/>
          <w:lang w:eastAsia="es-ES"/>
        </w:rPr>
      </w:pPr>
      <w:r w:rsidRPr="009E064D">
        <w:rPr>
          <w:rFonts w:ascii="Arial" w:eastAsia="MS Mincho" w:hAnsi="Arial" w:cs="Arial"/>
          <w:bCs/>
          <w:sz w:val="20"/>
          <w:szCs w:val="20"/>
          <w:lang w:eastAsia="es-ES"/>
        </w:rPr>
        <w:t>Son: (Valor en letras)</w:t>
      </w:r>
    </w:p>
    <w:p w:rsidR="009E064D" w:rsidRPr="009E064D" w:rsidRDefault="009E064D" w:rsidP="009E064D">
      <w:pPr>
        <w:spacing w:after="0" w:line="240" w:lineRule="auto"/>
        <w:jc w:val="both"/>
        <w:rPr>
          <w:rFonts w:ascii="Arial" w:eastAsia="Times New Roman" w:hAnsi="Arial" w:cs="Arial"/>
          <w:i/>
          <w:sz w:val="20"/>
          <w:szCs w:val="20"/>
          <w:lang w:eastAsia="x-none"/>
        </w:rPr>
      </w:pPr>
    </w:p>
    <w:p w:rsidR="009E064D" w:rsidRPr="009E064D" w:rsidRDefault="009E064D" w:rsidP="009E064D">
      <w:pPr>
        <w:numPr>
          <w:ilvl w:val="0"/>
          <w:numId w:val="1"/>
        </w:numPr>
        <w:autoSpaceDE w:val="0"/>
        <w:autoSpaceDN w:val="0"/>
        <w:adjustRightInd w:val="0"/>
        <w:spacing w:after="0" w:line="240" w:lineRule="auto"/>
        <w:jc w:val="both"/>
        <w:rPr>
          <w:rFonts w:ascii="Arial" w:eastAsia="MS Mincho" w:hAnsi="Arial" w:cs="Arial"/>
          <w:sz w:val="20"/>
          <w:szCs w:val="20"/>
          <w:lang w:eastAsia="es-ES"/>
        </w:rPr>
      </w:pPr>
      <w:r w:rsidRPr="009E064D">
        <w:rPr>
          <w:rFonts w:ascii="Arial" w:eastAsia="MS Mincho" w:hAnsi="Arial" w:cs="Arial"/>
          <w:sz w:val="20"/>
          <w:szCs w:val="20"/>
          <w:lang w:eastAsia="es-ES"/>
        </w:rPr>
        <w:t>Los valores se deben expresar en moneda legal colombiana. Los precios allí ofertados permanecerán constantes durante toda la vigencia del contrato. Por ninguna razón se considerarán costos adicionales.</w:t>
      </w:r>
    </w:p>
    <w:p w:rsidR="009E064D" w:rsidRPr="009E064D" w:rsidRDefault="009E064D" w:rsidP="009E064D">
      <w:pPr>
        <w:autoSpaceDE w:val="0"/>
        <w:autoSpaceDN w:val="0"/>
        <w:adjustRightInd w:val="0"/>
        <w:spacing w:after="0" w:line="240" w:lineRule="auto"/>
        <w:ind w:left="720"/>
        <w:jc w:val="both"/>
        <w:rPr>
          <w:rFonts w:ascii="Arial" w:eastAsia="MS Mincho" w:hAnsi="Arial" w:cs="Arial"/>
          <w:sz w:val="20"/>
          <w:szCs w:val="20"/>
          <w:lang w:eastAsia="es-ES"/>
        </w:rPr>
      </w:pPr>
    </w:p>
    <w:p w:rsidR="009E064D" w:rsidRPr="009E064D" w:rsidRDefault="009E064D" w:rsidP="009E064D">
      <w:pPr>
        <w:numPr>
          <w:ilvl w:val="0"/>
          <w:numId w:val="1"/>
        </w:numPr>
        <w:autoSpaceDE w:val="0"/>
        <w:autoSpaceDN w:val="0"/>
        <w:adjustRightInd w:val="0"/>
        <w:spacing w:after="0" w:line="240" w:lineRule="auto"/>
        <w:jc w:val="both"/>
        <w:rPr>
          <w:rFonts w:ascii="Arial" w:eastAsia="MS Mincho" w:hAnsi="Arial" w:cs="Arial"/>
          <w:sz w:val="20"/>
          <w:szCs w:val="20"/>
          <w:lang w:eastAsia="es-ES"/>
        </w:rPr>
      </w:pPr>
      <w:r w:rsidRPr="009E064D">
        <w:rPr>
          <w:rFonts w:ascii="Arial" w:eastAsia="MS Mincho" w:hAnsi="Arial" w:cs="Arial"/>
          <w:sz w:val="20"/>
          <w:szCs w:val="20"/>
          <w:lang w:eastAsia="es-ES"/>
        </w:rPr>
        <w:t>El proponente para la formulación de la propuesta económica debe tener en cuenta las variables económicas que estime pertinentes, considerando la totalidad de las condiciones previstas en esta invitación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9E064D" w:rsidRPr="009E064D" w:rsidRDefault="009E064D" w:rsidP="009E064D">
      <w:pPr>
        <w:spacing w:after="0" w:line="240" w:lineRule="auto"/>
        <w:ind w:left="720"/>
        <w:contextualSpacing/>
        <w:rPr>
          <w:rFonts w:ascii="Arial" w:eastAsia="Times New Roman" w:hAnsi="Arial" w:cs="Arial"/>
          <w:sz w:val="20"/>
          <w:szCs w:val="20"/>
          <w:lang w:eastAsia="es-ES"/>
        </w:rPr>
      </w:pPr>
    </w:p>
    <w:p w:rsidR="009E064D" w:rsidRPr="009E064D" w:rsidRDefault="009E064D" w:rsidP="009E064D">
      <w:pPr>
        <w:numPr>
          <w:ilvl w:val="0"/>
          <w:numId w:val="1"/>
        </w:numPr>
        <w:autoSpaceDE w:val="0"/>
        <w:autoSpaceDN w:val="0"/>
        <w:adjustRightInd w:val="0"/>
        <w:spacing w:after="0" w:line="240" w:lineRule="auto"/>
        <w:jc w:val="both"/>
        <w:rPr>
          <w:rFonts w:ascii="Arial" w:eastAsia="MS Mincho" w:hAnsi="Arial" w:cs="Arial"/>
          <w:sz w:val="20"/>
          <w:szCs w:val="20"/>
          <w:lang w:eastAsia="es-ES"/>
        </w:rPr>
      </w:pPr>
      <w:r w:rsidRPr="009E064D">
        <w:rPr>
          <w:rFonts w:ascii="Arial" w:eastAsia="MS Mincho" w:hAnsi="Arial" w:cs="Arial"/>
          <w:sz w:val="20"/>
          <w:szCs w:val="20"/>
          <w:lang w:eastAsia="es-ES"/>
        </w:rPr>
        <w:t>Al formular la oferta económica el proponente deberá considerar la totalidad de los impuestos, tasas y contribuciones nacionales, departamentales y/o municipales, adecuaciones necesarias para la puesta en marcha y correcto funcionamiento de los equipos y demás que se causen por la celebración, ejecución y liquidación del contrato.</w:t>
      </w:r>
    </w:p>
    <w:p w:rsidR="009E064D" w:rsidRPr="009E064D" w:rsidRDefault="009E064D" w:rsidP="009E064D">
      <w:pPr>
        <w:autoSpaceDE w:val="0"/>
        <w:autoSpaceDN w:val="0"/>
        <w:adjustRightInd w:val="0"/>
        <w:spacing w:after="0" w:line="240" w:lineRule="auto"/>
        <w:ind w:left="720"/>
        <w:jc w:val="both"/>
        <w:rPr>
          <w:rFonts w:ascii="Arial" w:eastAsia="MS Mincho" w:hAnsi="Arial" w:cs="Arial"/>
          <w:sz w:val="20"/>
          <w:szCs w:val="20"/>
          <w:lang w:eastAsia="es-ES"/>
        </w:rPr>
      </w:pPr>
    </w:p>
    <w:p w:rsidR="009E064D" w:rsidRPr="009E064D" w:rsidRDefault="009E064D" w:rsidP="009E064D">
      <w:pPr>
        <w:numPr>
          <w:ilvl w:val="0"/>
          <w:numId w:val="1"/>
        </w:numPr>
        <w:autoSpaceDE w:val="0"/>
        <w:autoSpaceDN w:val="0"/>
        <w:adjustRightInd w:val="0"/>
        <w:spacing w:after="0" w:line="240" w:lineRule="auto"/>
        <w:jc w:val="both"/>
        <w:rPr>
          <w:rFonts w:ascii="Arial" w:eastAsia="MS Mincho" w:hAnsi="Arial" w:cs="Arial"/>
          <w:b/>
          <w:iCs/>
          <w:sz w:val="20"/>
          <w:szCs w:val="20"/>
          <w:lang w:eastAsia="es-ES"/>
        </w:rPr>
      </w:pPr>
      <w:r w:rsidRPr="009E064D">
        <w:rPr>
          <w:rFonts w:ascii="Arial" w:eastAsia="MS Mincho" w:hAnsi="Arial" w:cs="Arial"/>
          <w:sz w:val="20"/>
          <w:szCs w:val="20"/>
          <w:lang w:eastAsia="es-ES"/>
        </w:rPr>
        <w:t>En general, el proponente deberá considerar al momento de formular su propuesta económica la totalidad de las condiciones contractuales previstas en el presente pliego.</w:t>
      </w:r>
    </w:p>
    <w:p w:rsidR="009E064D" w:rsidRPr="009E064D" w:rsidRDefault="009E064D" w:rsidP="009E064D">
      <w:pPr>
        <w:spacing w:after="0" w:line="240" w:lineRule="auto"/>
        <w:ind w:left="720"/>
        <w:contextualSpacing/>
        <w:rPr>
          <w:rFonts w:ascii="Arial" w:eastAsia="Times New Roman" w:hAnsi="Arial" w:cs="Arial"/>
          <w:b/>
          <w:iCs/>
          <w:sz w:val="20"/>
          <w:szCs w:val="20"/>
          <w:lang w:eastAsia="es-ES"/>
        </w:rPr>
      </w:pPr>
    </w:p>
    <w:p w:rsidR="009E064D" w:rsidRPr="009E064D" w:rsidRDefault="009E064D" w:rsidP="009E064D">
      <w:pPr>
        <w:numPr>
          <w:ilvl w:val="0"/>
          <w:numId w:val="1"/>
        </w:numPr>
        <w:autoSpaceDE w:val="0"/>
        <w:autoSpaceDN w:val="0"/>
        <w:adjustRightInd w:val="0"/>
        <w:spacing w:after="0" w:line="240" w:lineRule="auto"/>
        <w:jc w:val="both"/>
        <w:rPr>
          <w:rFonts w:ascii="Arial" w:eastAsia="MS Mincho" w:hAnsi="Arial" w:cs="Arial"/>
          <w:b/>
          <w:iCs/>
          <w:sz w:val="20"/>
          <w:szCs w:val="20"/>
          <w:lang w:eastAsia="es-ES"/>
        </w:rPr>
      </w:pPr>
      <w:r w:rsidRPr="009E064D">
        <w:rPr>
          <w:rFonts w:ascii="Arial" w:eastAsia="MS Mincho" w:hAnsi="Arial" w:cs="Arial"/>
          <w:sz w:val="20"/>
          <w:szCs w:val="20"/>
          <w:lang w:eastAsia="es-ES"/>
        </w:rPr>
        <w:t xml:space="preserve">Los precios contenidos en la propuesta </w:t>
      </w:r>
      <w:r w:rsidRPr="009E064D">
        <w:rPr>
          <w:rFonts w:ascii="Arial" w:eastAsia="MS Mincho" w:hAnsi="Arial" w:cs="Arial"/>
          <w:b/>
          <w:bCs/>
          <w:sz w:val="20"/>
          <w:szCs w:val="20"/>
          <w:lang w:eastAsia="es-ES"/>
        </w:rPr>
        <w:t>NO ESTÁN SUJETOS A REAJUSTE ALGUNO</w:t>
      </w:r>
      <w:r w:rsidRPr="009E064D">
        <w:rPr>
          <w:rFonts w:ascii="Arial" w:eastAsia="MS Mincho" w:hAnsi="Arial" w:cs="Arial"/>
          <w:sz w:val="20"/>
          <w:szCs w:val="20"/>
          <w:lang w:eastAsia="es-ES"/>
        </w:rPr>
        <w:t>, por tal razón, el proponente deberá tener en cuenta en el momento de la elaboración de los mismos los posibles incrementos que se llegaren a presentar.</w:t>
      </w:r>
    </w:p>
    <w:p w:rsidR="009E064D" w:rsidRPr="009E064D" w:rsidRDefault="009E064D" w:rsidP="009E064D">
      <w:pPr>
        <w:autoSpaceDE w:val="0"/>
        <w:autoSpaceDN w:val="0"/>
        <w:adjustRightInd w:val="0"/>
        <w:spacing w:after="0" w:line="240" w:lineRule="auto"/>
        <w:ind w:left="720"/>
        <w:jc w:val="both"/>
        <w:rPr>
          <w:rFonts w:ascii="Arial" w:eastAsia="MS Mincho" w:hAnsi="Arial" w:cs="Arial"/>
          <w:b/>
          <w:iCs/>
          <w:sz w:val="20"/>
          <w:szCs w:val="20"/>
          <w:lang w:eastAsia="es-ES"/>
        </w:rPr>
      </w:pPr>
    </w:p>
    <w:p w:rsidR="009E064D" w:rsidRPr="009E064D" w:rsidRDefault="009E064D" w:rsidP="009E064D">
      <w:pPr>
        <w:autoSpaceDE w:val="0"/>
        <w:autoSpaceDN w:val="0"/>
        <w:adjustRightInd w:val="0"/>
        <w:spacing w:after="0" w:line="240" w:lineRule="auto"/>
        <w:ind w:left="720"/>
        <w:jc w:val="both"/>
        <w:rPr>
          <w:rFonts w:ascii="Arial" w:eastAsia="MS Mincho" w:hAnsi="Arial" w:cs="Arial"/>
          <w:b/>
          <w:iCs/>
          <w:sz w:val="20"/>
          <w:szCs w:val="20"/>
          <w:lang w:eastAsia="es-ES"/>
        </w:rPr>
      </w:pPr>
    </w:p>
    <w:p w:rsidR="009E064D" w:rsidRPr="009E064D" w:rsidRDefault="009E064D" w:rsidP="009E064D">
      <w:pPr>
        <w:autoSpaceDE w:val="0"/>
        <w:autoSpaceDN w:val="0"/>
        <w:adjustRightInd w:val="0"/>
        <w:spacing w:after="0" w:line="240" w:lineRule="auto"/>
        <w:ind w:left="720"/>
        <w:jc w:val="both"/>
        <w:rPr>
          <w:rFonts w:ascii="Arial" w:eastAsia="MS Mincho" w:hAnsi="Arial" w:cs="Arial"/>
          <w:b/>
          <w:iCs/>
          <w:sz w:val="20"/>
          <w:szCs w:val="20"/>
          <w:lang w:eastAsia="es-ES"/>
        </w:rPr>
      </w:pPr>
    </w:p>
    <w:p w:rsidR="009E064D" w:rsidRPr="009E064D" w:rsidRDefault="009E064D" w:rsidP="009E064D">
      <w:pPr>
        <w:spacing w:after="0" w:line="240" w:lineRule="auto"/>
        <w:rPr>
          <w:rFonts w:ascii="Arial" w:eastAsia="Times New Roman" w:hAnsi="Arial" w:cs="Arial"/>
          <w:sz w:val="20"/>
          <w:szCs w:val="20"/>
        </w:rPr>
      </w:pPr>
      <w:r w:rsidRPr="009E064D">
        <w:rPr>
          <w:rFonts w:ascii="Arial" w:eastAsia="Times New Roman" w:hAnsi="Arial" w:cs="Arial"/>
          <w:sz w:val="20"/>
          <w:szCs w:val="20"/>
        </w:rPr>
        <w:t>Firma del representante legal del proponente. _______________________</w:t>
      </w:r>
    </w:p>
    <w:p w:rsidR="009E064D" w:rsidRPr="009E064D" w:rsidRDefault="009E064D" w:rsidP="009E064D">
      <w:pPr>
        <w:spacing w:after="0" w:line="240" w:lineRule="auto"/>
        <w:rPr>
          <w:rFonts w:ascii="Arial" w:eastAsia="Times New Roman" w:hAnsi="Arial" w:cs="Arial"/>
          <w:sz w:val="20"/>
          <w:szCs w:val="20"/>
        </w:r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1"/>
        <w:gridCol w:w="4678"/>
      </w:tblGrid>
      <w:tr w:rsidR="009E064D" w:rsidRPr="009E064D" w:rsidTr="00777E75">
        <w:trPr>
          <w:trHeight w:val="30"/>
        </w:trPr>
        <w:tc>
          <w:tcPr>
            <w:tcW w:w="8789" w:type="dxa"/>
            <w:gridSpan w:val="2"/>
            <w:shd w:val="clear" w:color="auto" w:fill="FFFFFF"/>
            <w:hideMark/>
          </w:tcPr>
          <w:p w:rsidR="009E064D" w:rsidRPr="009E064D" w:rsidRDefault="009E064D" w:rsidP="009E064D">
            <w:pPr>
              <w:spacing w:after="0" w:line="240" w:lineRule="auto"/>
              <w:rPr>
                <w:rFonts w:ascii="Arial" w:eastAsia="Times New Roman" w:hAnsi="Arial" w:cs="Arial"/>
                <w:b/>
                <w:color w:val="000000"/>
                <w:sz w:val="20"/>
                <w:szCs w:val="20"/>
              </w:rPr>
            </w:pPr>
            <w:r w:rsidRPr="009E064D">
              <w:rPr>
                <w:rFonts w:ascii="Arial" w:eastAsia="Times New Roman" w:hAnsi="Arial" w:cs="Arial"/>
                <w:b/>
                <w:color w:val="000000"/>
                <w:sz w:val="20"/>
                <w:szCs w:val="20"/>
              </w:rPr>
              <w:t>Datos del Representante Legal</w:t>
            </w:r>
          </w:p>
        </w:tc>
      </w:tr>
      <w:tr w:rsidR="009E064D" w:rsidRPr="009E064D" w:rsidTr="00777E75">
        <w:trPr>
          <w:trHeight w:val="32"/>
        </w:trPr>
        <w:tc>
          <w:tcPr>
            <w:tcW w:w="8789" w:type="dxa"/>
            <w:gridSpan w:val="2"/>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 xml:space="preserve">Nombre: </w:t>
            </w:r>
          </w:p>
        </w:tc>
      </w:tr>
      <w:tr w:rsidR="009E064D" w:rsidRPr="009E064D" w:rsidTr="00777E75">
        <w:tc>
          <w:tcPr>
            <w:tcW w:w="8789" w:type="dxa"/>
            <w:gridSpan w:val="2"/>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 xml:space="preserve">CC No.  </w:t>
            </w:r>
          </w:p>
        </w:tc>
      </w:tr>
      <w:tr w:rsidR="009E064D" w:rsidRPr="009E064D" w:rsidTr="00777E75">
        <w:tc>
          <w:tcPr>
            <w:tcW w:w="8789" w:type="dxa"/>
            <w:gridSpan w:val="2"/>
            <w:shd w:val="clear" w:color="auto" w:fill="FFFFFF"/>
            <w:hideMark/>
          </w:tcPr>
          <w:p w:rsidR="009E064D" w:rsidRPr="009E064D" w:rsidRDefault="009E064D" w:rsidP="009E064D">
            <w:pPr>
              <w:spacing w:after="0" w:line="240" w:lineRule="auto"/>
              <w:rPr>
                <w:rFonts w:ascii="Arial" w:eastAsia="Times New Roman" w:hAnsi="Arial" w:cs="Arial"/>
                <w:b/>
                <w:color w:val="000000"/>
                <w:sz w:val="20"/>
                <w:szCs w:val="20"/>
              </w:rPr>
            </w:pPr>
            <w:r w:rsidRPr="009E064D">
              <w:rPr>
                <w:rFonts w:ascii="Arial" w:eastAsia="Times New Roman" w:hAnsi="Arial" w:cs="Arial"/>
                <w:b/>
                <w:color w:val="000000"/>
                <w:sz w:val="20"/>
                <w:szCs w:val="20"/>
              </w:rPr>
              <w:t>Datos del Proponente</w:t>
            </w:r>
          </w:p>
        </w:tc>
      </w:tr>
      <w:tr w:rsidR="009E064D" w:rsidRPr="009E064D" w:rsidTr="00777E75">
        <w:tc>
          <w:tcPr>
            <w:tcW w:w="4111" w:type="dxa"/>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Nombre</w:t>
            </w:r>
          </w:p>
        </w:tc>
        <w:tc>
          <w:tcPr>
            <w:tcW w:w="4678" w:type="dxa"/>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proofErr w:type="spellStart"/>
            <w:r w:rsidRPr="009E064D">
              <w:rPr>
                <w:rFonts w:ascii="Arial" w:eastAsia="Times New Roman" w:hAnsi="Arial" w:cs="Arial"/>
                <w:color w:val="000000"/>
                <w:sz w:val="20"/>
                <w:szCs w:val="20"/>
              </w:rPr>
              <w:t>Nit</w:t>
            </w:r>
            <w:proofErr w:type="spellEnd"/>
            <w:r w:rsidRPr="009E064D">
              <w:rPr>
                <w:rFonts w:ascii="Arial" w:eastAsia="Times New Roman" w:hAnsi="Arial" w:cs="Arial"/>
                <w:color w:val="000000"/>
                <w:sz w:val="20"/>
                <w:szCs w:val="20"/>
              </w:rPr>
              <w:t>:</w:t>
            </w:r>
          </w:p>
        </w:tc>
      </w:tr>
      <w:tr w:rsidR="009E064D" w:rsidRPr="009E064D" w:rsidTr="00777E75">
        <w:tc>
          <w:tcPr>
            <w:tcW w:w="8789" w:type="dxa"/>
            <w:gridSpan w:val="2"/>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Dirección</w:t>
            </w:r>
          </w:p>
        </w:tc>
      </w:tr>
      <w:tr w:rsidR="009E064D" w:rsidRPr="009E064D" w:rsidTr="00777E75">
        <w:tc>
          <w:tcPr>
            <w:tcW w:w="4111" w:type="dxa"/>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Ciudad.</w:t>
            </w:r>
          </w:p>
        </w:tc>
        <w:tc>
          <w:tcPr>
            <w:tcW w:w="4678" w:type="dxa"/>
            <w:shd w:val="clear" w:color="auto" w:fill="FFFFFF"/>
            <w:hideMark/>
          </w:tcPr>
          <w:p w:rsidR="009E064D" w:rsidRPr="009E064D" w:rsidRDefault="009E064D" w:rsidP="009E064D">
            <w:pPr>
              <w:spacing w:after="0" w:line="240" w:lineRule="auto"/>
              <w:rPr>
                <w:rFonts w:ascii="Arial" w:eastAsia="Times New Roman" w:hAnsi="Arial" w:cs="Arial"/>
                <w:color w:val="000000"/>
                <w:sz w:val="20"/>
                <w:szCs w:val="20"/>
              </w:rPr>
            </w:pPr>
            <w:r w:rsidRPr="009E064D">
              <w:rPr>
                <w:rFonts w:ascii="Arial" w:eastAsia="Times New Roman" w:hAnsi="Arial" w:cs="Arial"/>
                <w:color w:val="000000"/>
                <w:sz w:val="20"/>
                <w:szCs w:val="20"/>
              </w:rPr>
              <w:t>Teléfono</w:t>
            </w:r>
          </w:p>
        </w:tc>
      </w:tr>
    </w:tbl>
    <w:p w:rsidR="00981A35" w:rsidRDefault="00981A35"/>
    <w:sectPr w:rsidR="00981A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10801"/>
    <w:multiLevelType w:val="hybridMultilevel"/>
    <w:tmpl w:val="AB6CD768"/>
    <w:lvl w:ilvl="0" w:tplc="6D26D414">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4D"/>
    <w:rsid w:val="00375907"/>
    <w:rsid w:val="00614157"/>
    <w:rsid w:val="00981A35"/>
    <w:rsid w:val="009E064D"/>
    <w:rsid w:val="00C214BD"/>
    <w:rsid w:val="00F123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B260-140B-42CE-A1FC-E581718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CRISTHIAN ALBERTO JIMENEZ JIMENEZ</cp:lastModifiedBy>
  <cp:revision>1</cp:revision>
  <dcterms:created xsi:type="dcterms:W3CDTF">2021-10-04T16:05:00Z</dcterms:created>
  <dcterms:modified xsi:type="dcterms:W3CDTF">2021-10-04T16:06:00Z</dcterms:modified>
</cp:coreProperties>
</file>