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8F8F8"/>
        <w:tblCellMar>
          <w:left w:w="0" w:type="dxa"/>
          <w:right w:w="0" w:type="dxa"/>
        </w:tblCellMar>
        <w:tblLook w:val="04A0" w:firstRow="1" w:lastRow="0" w:firstColumn="1" w:lastColumn="0" w:noHBand="0" w:noVBand="1"/>
      </w:tblPr>
      <w:tblGrid>
        <w:gridCol w:w="8838"/>
      </w:tblGrid>
      <w:tr w:rsidR="00E04991" w:rsidRPr="00E04991" w:rsidTr="00E04991">
        <w:trPr>
          <w:trHeight w:val="255"/>
        </w:trPr>
        <w:tc>
          <w:tcPr>
            <w:tcW w:w="0" w:type="auto"/>
            <w:shd w:val="clear" w:color="auto" w:fill="F8F8F8"/>
            <w:tcMar>
              <w:top w:w="135" w:type="dxa"/>
              <w:left w:w="0" w:type="dxa"/>
              <w:bottom w:w="0" w:type="dxa"/>
              <w:right w:w="0" w:type="dxa"/>
            </w:tcMar>
            <w:hideMark/>
          </w:tcPr>
          <w:p w:rsidR="00E04991" w:rsidRPr="00E04991" w:rsidRDefault="00E04991" w:rsidP="00E04991">
            <w:pPr>
              <w:jc w:val="center"/>
              <w:rPr>
                <w:rFonts w:ascii="Helvetica" w:eastAsia="Times New Roman" w:hAnsi="Helvetica" w:cs="Times New Roman"/>
                <w:color w:val="222222"/>
                <w:lang w:eastAsia="es-ES_tradnl"/>
              </w:rPr>
            </w:pPr>
            <w:r w:rsidRPr="00E04991">
              <w:rPr>
                <w:rFonts w:ascii="Verdana" w:eastAsia="Times New Roman" w:hAnsi="Verdana" w:cs="Times New Roman"/>
                <w:b/>
                <w:bCs/>
                <w:color w:val="0000FF"/>
                <w:sz w:val="48"/>
                <w:szCs w:val="48"/>
                <w:shd w:val="clear" w:color="auto" w:fill="FFFFFF"/>
                <w:lang w:eastAsia="es-ES_tradnl"/>
              </w:rPr>
              <w:t>Comunicado No. 2 del 2020</w:t>
            </w:r>
          </w:p>
          <w:p w:rsidR="00E04991" w:rsidRPr="00E04991" w:rsidRDefault="00E04991" w:rsidP="00E04991">
            <w:pPr>
              <w:shd w:val="clear" w:color="auto" w:fill="FFFFFF"/>
              <w:jc w:val="center"/>
              <w:rPr>
                <w:rFonts w:ascii="Helvetica" w:eastAsia="Times New Roman" w:hAnsi="Helvetica" w:cs="Times New Roman"/>
                <w:color w:val="222222"/>
                <w:lang w:eastAsia="es-ES_tradnl"/>
              </w:rPr>
            </w:pPr>
          </w:p>
          <w:p w:rsidR="00E04991" w:rsidRPr="00E04991" w:rsidRDefault="00E04991" w:rsidP="00E04991">
            <w:pPr>
              <w:shd w:val="clear" w:color="auto" w:fill="FFFFFF"/>
              <w:rPr>
                <w:rFonts w:ascii="Helvetica" w:eastAsia="Times New Roman" w:hAnsi="Helvetica" w:cs="Times New Roman"/>
                <w:color w:val="222222"/>
                <w:lang w:eastAsia="es-ES_tradnl"/>
              </w:rPr>
            </w:pPr>
          </w:p>
          <w:p w:rsidR="00E04991" w:rsidRPr="00E04991" w:rsidRDefault="00E04991" w:rsidP="00E04991">
            <w:pPr>
              <w:shd w:val="clear" w:color="auto" w:fill="FFFFFF"/>
              <w:rPr>
                <w:rFonts w:ascii="Helvetica" w:eastAsia="Times New Roman" w:hAnsi="Helvetica" w:cs="Times New Roman"/>
                <w:color w:val="222222"/>
                <w:lang w:eastAsia="es-ES_tradnl"/>
              </w:rPr>
            </w:pPr>
          </w:p>
          <w:p w:rsidR="00E04991" w:rsidRPr="00E04991" w:rsidRDefault="00E04991" w:rsidP="00E04991">
            <w:pPr>
              <w:shd w:val="clear" w:color="auto" w:fill="FFFFFF"/>
              <w:rPr>
                <w:rFonts w:ascii="Helvetica" w:eastAsia="Times New Roman" w:hAnsi="Helvetica" w:cs="Times New Roman"/>
                <w:color w:val="222222"/>
                <w:lang w:eastAsia="es-ES_tradnl"/>
              </w:rPr>
            </w:pPr>
            <w:r w:rsidRPr="00E04991">
              <w:rPr>
                <w:rFonts w:ascii="Verdana" w:eastAsia="Times New Roman" w:hAnsi="Verdana" w:cs="Times New Roman"/>
                <w:color w:val="222222"/>
                <w:sz w:val="27"/>
                <w:szCs w:val="27"/>
                <w:lang w:eastAsia="es-ES_tradnl"/>
              </w:rPr>
              <w:t>Comunidad Neogranadina</w:t>
            </w:r>
          </w:p>
          <w:p w:rsidR="00E04991" w:rsidRPr="00E04991" w:rsidRDefault="00E04991" w:rsidP="00E04991">
            <w:pPr>
              <w:shd w:val="clear" w:color="auto" w:fill="FFFFFF"/>
              <w:rPr>
                <w:rFonts w:ascii="Helvetica" w:eastAsia="Times New Roman" w:hAnsi="Helvetica" w:cs="Times New Roman"/>
                <w:color w:val="222222"/>
                <w:lang w:eastAsia="es-ES_tradnl"/>
              </w:rPr>
            </w:pPr>
          </w:p>
          <w:p w:rsidR="00E04991" w:rsidRPr="00E04991" w:rsidRDefault="00E04991" w:rsidP="00E04991">
            <w:pPr>
              <w:shd w:val="clear" w:color="auto" w:fill="FFFFFF"/>
              <w:jc w:val="both"/>
              <w:rPr>
                <w:rFonts w:ascii="Helvetica" w:eastAsia="Times New Roman" w:hAnsi="Helvetica" w:cs="Times New Roman"/>
                <w:color w:val="222222"/>
                <w:lang w:eastAsia="es-ES_tradnl"/>
              </w:rPr>
            </w:pPr>
            <w:r w:rsidRPr="00E04991">
              <w:rPr>
                <w:rFonts w:ascii="Verdana" w:eastAsia="Times New Roman" w:hAnsi="Verdana" w:cs="Times New Roman"/>
                <w:color w:val="000000"/>
                <w:sz w:val="27"/>
                <w:szCs w:val="27"/>
                <w:lang w:eastAsia="es-ES_tradnl"/>
              </w:rPr>
              <w:t>A raíz de los comentarios que se han generado por un supuesto caso de COVID-19 en la Universidad, la Rectoria informa que en la noche de ayer fue trasladada al Hospital Militar central una estudiante de la Facultad de Derecho Campus Cajicá por presentar un cuadro de hipoglucemia. La estudiante recibió atención médica adecuada y fue dada de alta en la mañana de hoy y fue descartado que tenga el virus.</w:t>
            </w:r>
          </w:p>
          <w:p w:rsidR="00E04991" w:rsidRPr="00E04991" w:rsidRDefault="00E04991" w:rsidP="00E04991">
            <w:pPr>
              <w:shd w:val="clear" w:color="auto" w:fill="FFFFFF"/>
              <w:jc w:val="both"/>
              <w:rPr>
                <w:rFonts w:ascii="Helvetica" w:eastAsia="Times New Roman" w:hAnsi="Helvetica" w:cs="Times New Roman"/>
                <w:color w:val="222222"/>
                <w:lang w:eastAsia="es-ES_tradnl"/>
              </w:rPr>
            </w:pPr>
            <w:r w:rsidRPr="00E04991">
              <w:rPr>
                <w:rFonts w:ascii="Verdana" w:eastAsia="Times New Roman" w:hAnsi="Verdana" w:cs="Times New Roman"/>
                <w:color w:val="000000"/>
                <w:sz w:val="27"/>
                <w:szCs w:val="27"/>
                <w:lang w:eastAsia="es-ES_tradnl"/>
              </w:rPr>
              <w:t> </w:t>
            </w:r>
          </w:p>
          <w:p w:rsidR="00E04991" w:rsidRPr="00E04991" w:rsidRDefault="00E04991" w:rsidP="00E04991">
            <w:pPr>
              <w:shd w:val="clear" w:color="auto" w:fill="FFFFFF"/>
              <w:jc w:val="both"/>
              <w:rPr>
                <w:rFonts w:ascii="Helvetica" w:eastAsia="Times New Roman" w:hAnsi="Helvetica" w:cs="Times New Roman"/>
                <w:color w:val="222222"/>
                <w:lang w:eastAsia="es-ES_tradnl"/>
              </w:rPr>
            </w:pPr>
            <w:r w:rsidRPr="00E04991">
              <w:rPr>
                <w:rFonts w:ascii="Verdana" w:eastAsia="Times New Roman" w:hAnsi="Verdana" w:cs="Times New Roman"/>
                <w:color w:val="000000"/>
                <w:sz w:val="27"/>
                <w:szCs w:val="27"/>
                <w:lang w:eastAsia="es-ES_tradnl"/>
              </w:rPr>
              <w:t>Aprovecho la falsa alarma para recordar la importancia que tiene tomar las medidas necesarias para contener la emergencia mundial, los invito a ser parte de las campañas preventivas.</w:t>
            </w:r>
          </w:p>
          <w:p w:rsidR="00E04991" w:rsidRPr="00E04991" w:rsidRDefault="00E04991" w:rsidP="00E04991">
            <w:pPr>
              <w:shd w:val="clear" w:color="auto" w:fill="FFFFFF"/>
              <w:jc w:val="both"/>
              <w:rPr>
                <w:rFonts w:ascii="Helvetica" w:eastAsia="Times New Roman" w:hAnsi="Helvetica" w:cs="Times New Roman"/>
                <w:color w:val="222222"/>
                <w:lang w:eastAsia="es-ES_tradnl"/>
              </w:rPr>
            </w:pPr>
            <w:r w:rsidRPr="00E04991">
              <w:rPr>
                <w:rFonts w:ascii="Verdana" w:eastAsia="Times New Roman" w:hAnsi="Verdana" w:cs="Times New Roman"/>
                <w:color w:val="000000"/>
                <w:sz w:val="27"/>
                <w:szCs w:val="27"/>
                <w:lang w:eastAsia="es-ES_tradnl"/>
              </w:rPr>
              <w:t> </w:t>
            </w:r>
          </w:p>
          <w:p w:rsidR="00E04991" w:rsidRPr="00E04991" w:rsidRDefault="00E04991" w:rsidP="00E04991">
            <w:pPr>
              <w:shd w:val="clear" w:color="auto" w:fill="FFFFFF"/>
              <w:jc w:val="both"/>
              <w:rPr>
                <w:rFonts w:ascii="Helvetica" w:eastAsia="Times New Roman" w:hAnsi="Helvetica" w:cs="Times New Roman"/>
                <w:color w:val="222222"/>
                <w:lang w:eastAsia="es-ES_tradnl"/>
              </w:rPr>
            </w:pPr>
            <w:r w:rsidRPr="00E04991">
              <w:rPr>
                <w:rFonts w:ascii="Verdana" w:eastAsia="Times New Roman" w:hAnsi="Verdana" w:cs="Times New Roman"/>
                <w:color w:val="000000"/>
                <w:sz w:val="27"/>
                <w:szCs w:val="27"/>
                <w:lang w:eastAsia="es-ES_tradnl"/>
              </w:rPr>
              <w:t>La administración está trabajando por el beneficio de toda la comunidad granadina. </w:t>
            </w:r>
          </w:p>
          <w:p w:rsidR="00E04991" w:rsidRPr="00E04991" w:rsidRDefault="00E04991" w:rsidP="00E04991">
            <w:pPr>
              <w:shd w:val="clear" w:color="auto" w:fill="FFFFFF"/>
              <w:rPr>
                <w:rFonts w:ascii="Helvetica" w:eastAsia="Times New Roman" w:hAnsi="Helvetica" w:cs="Times New Roman"/>
                <w:color w:val="222222"/>
                <w:lang w:eastAsia="es-ES_tradnl"/>
              </w:rPr>
            </w:pPr>
            <w:r w:rsidRPr="00E04991">
              <w:rPr>
                <w:rFonts w:ascii="Verdana" w:eastAsia="Times New Roman" w:hAnsi="Verdana" w:cs="Times New Roman"/>
                <w:color w:val="222222"/>
                <w:sz w:val="27"/>
                <w:szCs w:val="27"/>
                <w:lang w:eastAsia="es-ES_tradnl"/>
              </w:rPr>
              <w:t>--  </w:t>
            </w:r>
          </w:p>
          <w:p w:rsidR="00E04991" w:rsidRPr="00E04991" w:rsidRDefault="00E04991" w:rsidP="00E04991">
            <w:pPr>
              <w:shd w:val="clear" w:color="auto" w:fill="FFFFFF"/>
              <w:rPr>
                <w:rFonts w:ascii="Helvetica" w:eastAsia="Times New Roman" w:hAnsi="Helvetica" w:cs="Times New Roman"/>
                <w:color w:val="222222"/>
                <w:lang w:eastAsia="es-ES_tradnl"/>
              </w:rPr>
            </w:pPr>
            <w:r w:rsidRPr="00E04991">
              <w:rPr>
                <w:rFonts w:ascii="Verdana" w:eastAsia="Times New Roman" w:hAnsi="Verdana" w:cs="Times New Roman"/>
                <w:color w:val="222222"/>
                <w:sz w:val="27"/>
                <w:szCs w:val="27"/>
                <w:lang w:eastAsia="es-ES_tradnl"/>
              </w:rPr>
              <w:t> </w:t>
            </w:r>
          </w:p>
          <w:p w:rsidR="00E04991" w:rsidRPr="00E04991" w:rsidRDefault="00E04991" w:rsidP="00E04991">
            <w:pPr>
              <w:rPr>
                <w:rFonts w:ascii="Helvetica" w:eastAsia="Times New Roman" w:hAnsi="Helvetica" w:cs="Times New Roman"/>
                <w:color w:val="222222"/>
                <w:lang w:eastAsia="es-ES_tradnl"/>
              </w:rPr>
            </w:pPr>
            <w:r w:rsidRPr="00E04991">
              <w:rPr>
                <w:rFonts w:ascii="Verdana" w:eastAsia="Times New Roman" w:hAnsi="Verdana" w:cs="Times New Roman"/>
                <w:color w:val="222222"/>
                <w:sz w:val="27"/>
                <w:szCs w:val="27"/>
                <w:lang w:eastAsia="es-ES_tradnl"/>
              </w:rPr>
              <w:t> </w:t>
            </w:r>
          </w:p>
          <w:p w:rsidR="00E04991" w:rsidRPr="00E04991" w:rsidRDefault="00E04991" w:rsidP="00E04991">
            <w:pPr>
              <w:shd w:val="clear" w:color="auto" w:fill="FFFFFF"/>
              <w:spacing w:after="160"/>
              <w:rPr>
                <w:rFonts w:ascii="Helvetica" w:eastAsia="Times New Roman" w:hAnsi="Helvetica" w:cs="Times New Roman"/>
                <w:color w:val="222222"/>
                <w:lang w:eastAsia="es-ES_tradnl"/>
              </w:rPr>
            </w:pPr>
            <w:r w:rsidRPr="00E04991">
              <w:rPr>
                <w:rFonts w:ascii="Verdana" w:eastAsia="Times New Roman" w:hAnsi="Verdana" w:cs="Times New Roman"/>
                <w:color w:val="222222"/>
                <w:sz w:val="27"/>
                <w:szCs w:val="27"/>
                <w:lang w:eastAsia="es-ES_tradnl"/>
              </w:rPr>
              <w:t>Agradezco su colaboración.</w:t>
            </w:r>
          </w:p>
          <w:p w:rsidR="00E04991" w:rsidRPr="00E04991" w:rsidRDefault="00E04991" w:rsidP="00E04991">
            <w:pPr>
              <w:shd w:val="clear" w:color="auto" w:fill="FFFFFF"/>
              <w:spacing w:after="160"/>
              <w:rPr>
                <w:rFonts w:ascii="Helvetica" w:eastAsia="Times New Roman" w:hAnsi="Helvetica" w:cs="Times New Roman"/>
                <w:color w:val="222222"/>
                <w:lang w:eastAsia="es-ES_tradnl"/>
              </w:rPr>
            </w:pPr>
          </w:p>
          <w:p w:rsidR="00E04991" w:rsidRPr="00E04991" w:rsidRDefault="00E04991" w:rsidP="00E04991">
            <w:pPr>
              <w:shd w:val="clear" w:color="auto" w:fill="FFFFFF"/>
              <w:spacing w:after="160"/>
              <w:rPr>
                <w:rFonts w:ascii="Helvetica" w:eastAsia="Times New Roman" w:hAnsi="Helvetica" w:cs="Times New Roman"/>
                <w:color w:val="222222"/>
                <w:lang w:eastAsia="es-ES_tradnl"/>
              </w:rPr>
            </w:pPr>
            <w:r w:rsidRPr="00E04991">
              <w:rPr>
                <w:rFonts w:ascii="Verdana" w:eastAsia="Times New Roman" w:hAnsi="Verdana" w:cs="Times New Roman"/>
                <w:color w:val="222222"/>
                <w:sz w:val="27"/>
                <w:szCs w:val="27"/>
                <w:lang w:eastAsia="es-ES_tradnl"/>
              </w:rPr>
              <w:t>Brigadier General (RA) Luis Fernando Puentes Torres Ph,D</w:t>
            </w:r>
          </w:p>
          <w:p w:rsidR="00E04991" w:rsidRPr="00E04991" w:rsidRDefault="00E04991" w:rsidP="00E04991">
            <w:pPr>
              <w:shd w:val="clear" w:color="auto" w:fill="FFFFFF"/>
              <w:spacing w:after="160"/>
              <w:rPr>
                <w:rFonts w:ascii="Helvetica" w:eastAsia="Times New Roman" w:hAnsi="Helvetica" w:cs="Times New Roman"/>
                <w:color w:val="222222"/>
                <w:lang w:eastAsia="es-ES_tradnl"/>
              </w:rPr>
            </w:pPr>
            <w:r w:rsidRPr="00E04991">
              <w:rPr>
                <w:rFonts w:ascii="Verdana" w:eastAsia="Times New Roman" w:hAnsi="Verdana" w:cs="Times New Roman"/>
                <w:color w:val="222222"/>
                <w:sz w:val="27"/>
                <w:szCs w:val="27"/>
                <w:lang w:eastAsia="es-ES_tradnl"/>
              </w:rPr>
              <w:t>Rector</w:t>
            </w:r>
          </w:p>
        </w:tc>
      </w:tr>
    </w:tbl>
    <w:p w:rsidR="00E04991" w:rsidRPr="00E04991" w:rsidRDefault="00E04991" w:rsidP="00E04991">
      <w:pPr>
        <w:rPr>
          <w:rFonts w:ascii="Times New Roman" w:eastAsia="Times New Roman" w:hAnsi="Times New Roman" w:cs="Times New Roman"/>
          <w:vanish/>
          <w:lang w:eastAsia="es-ES_tradnl"/>
        </w:rPr>
      </w:pPr>
    </w:p>
    <w:tbl>
      <w:tblPr>
        <w:tblW w:w="9000" w:type="dxa"/>
        <w:shd w:val="clear" w:color="auto" w:fill="F8F8F8"/>
        <w:tblCellMar>
          <w:top w:w="15" w:type="dxa"/>
          <w:left w:w="15" w:type="dxa"/>
          <w:bottom w:w="15" w:type="dxa"/>
          <w:right w:w="15" w:type="dxa"/>
        </w:tblCellMar>
        <w:tblLook w:val="04A0" w:firstRow="1" w:lastRow="0" w:firstColumn="1" w:lastColumn="0" w:noHBand="0" w:noVBand="1"/>
      </w:tblPr>
      <w:tblGrid>
        <w:gridCol w:w="9000"/>
      </w:tblGrid>
      <w:tr w:rsidR="00E04991" w:rsidRPr="00E04991" w:rsidTr="00E04991">
        <w:trPr>
          <w:trHeight w:val="555"/>
        </w:trPr>
        <w:tc>
          <w:tcPr>
            <w:tcW w:w="0" w:type="auto"/>
            <w:shd w:val="clear" w:color="auto" w:fill="F8F8F8"/>
            <w:vAlign w:val="center"/>
            <w:hideMark/>
          </w:tcPr>
          <w:p w:rsidR="00E04991" w:rsidRPr="00E04991" w:rsidRDefault="00E04991" w:rsidP="00E04991">
            <w:pPr>
              <w:rPr>
                <w:rFonts w:ascii="Times New Roman" w:eastAsia="Times New Roman" w:hAnsi="Times New Roman" w:cs="Times New Roman"/>
                <w:lang w:eastAsia="es-ES_tradnl"/>
              </w:rPr>
            </w:pPr>
          </w:p>
        </w:tc>
      </w:tr>
    </w:tbl>
    <w:p w:rsidR="00BE3A78" w:rsidRDefault="00BE3A78">
      <w:bookmarkStart w:id="0" w:name="_GoBack"/>
      <w:bookmarkEnd w:id="0"/>
    </w:p>
    <w:sectPr w:rsidR="00BE3A78" w:rsidSect="00564B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91"/>
    <w:rsid w:val="00564BFD"/>
    <w:rsid w:val="00BE3A78"/>
    <w:rsid w:val="00E049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B31613-7E9C-5640-9350-F832E69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6256">
      <w:bodyDiv w:val="1"/>
      <w:marLeft w:val="0"/>
      <w:marRight w:val="0"/>
      <w:marTop w:val="0"/>
      <w:marBottom w:val="0"/>
      <w:divBdr>
        <w:top w:val="none" w:sz="0" w:space="0" w:color="auto"/>
        <w:left w:val="none" w:sz="0" w:space="0" w:color="auto"/>
        <w:bottom w:val="none" w:sz="0" w:space="0" w:color="auto"/>
        <w:right w:val="none" w:sz="0" w:space="0" w:color="auto"/>
      </w:divBdr>
      <w:divsChild>
        <w:div w:id="1071000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706</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jimenez</dc:creator>
  <cp:keywords/>
  <dc:description/>
  <cp:lastModifiedBy>miguel jimenez</cp:lastModifiedBy>
  <cp:revision>1</cp:revision>
  <dcterms:created xsi:type="dcterms:W3CDTF">2020-03-14T23:22:00Z</dcterms:created>
  <dcterms:modified xsi:type="dcterms:W3CDTF">2020-03-14T23:22:00Z</dcterms:modified>
</cp:coreProperties>
</file>